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3B806" w14:textId="7920D372" w:rsidR="009E7D0C" w:rsidRPr="00B3568A" w:rsidRDefault="00B3568A" w:rsidP="00B3568A">
      <w:pPr>
        <w:jc w:val="center"/>
        <w:rPr>
          <w:sz w:val="24"/>
          <w:szCs w:val="22"/>
          <w:rFonts w:ascii="Times New Roman" w:hAnsi="Times New Roman"/>
        </w:rPr>
      </w:pPr>
      <w:bookmarkStart w:id="0" w:name="_Toc262568021"/>
      <w:bookmarkStart w:id="1" w:name="_Toc295829847"/>
      <w:r>
        <w:rPr>
          <w:sz w:val="24"/>
          <w:rFonts w:ascii="Times New Roman" w:hAnsi="Times New Roman"/>
        </w:rPr>
        <w:t xml:space="preserve">FI</w:t>
      </w:r>
    </w:p>
    <w:p w14:paraId="2704A83C" w14:textId="77777777" w:rsidR="009E7D0C" w:rsidRPr="00037E7B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D6FD9D5" w:rsidR="008D696E" w:rsidRPr="00037E7B" w:rsidRDefault="008D696E" w:rsidP="00A33695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LIITE II</w:t>
      </w:r>
    </w:p>
    <w:p w14:paraId="37362007" w14:textId="6FB5EC15" w:rsidR="002648B0" w:rsidRPr="00037E7B" w:rsidRDefault="008D696E" w:rsidP="00A33695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”LIITE II</w:t>
      </w:r>
    </w:p>
    <w:p w14:paraId="327777EC" w14:textId="77777777" w:rsidR="002648B0" w:rsidRPr="00037E7B" w:rsidRDefault="00D11E4C" w:rsidP="00C87CEE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OMIEN VAROJEN JA OMIEN VAROJEN VAATIMUSTEN RAPORTOINTIA KOSKEVAT OHJEET</w:t>
      </w:r>
    </w:p>
    <w:p w14:paraId="2C40683C" w14:textId="77777777" w:rsidR="00436204" w:rsidRPr="00037E7B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7E85F65D" w14:textId="77777777" w:rsidR="002648B0" w:rsidRPr="00037E7B" w:rsidRDefault="002648B0" w:rsidP="00005FFC">
      <w:pPr>
        <w:rPr>
          <w:rFonts w:ascii="Times New Roman" w:hAnsi="Times New Roman"/>
          <w:sz w:val="24"/>
        </w:rPr>
      </w:pPr>
    </w:p>
    <w:p w14:paraId="74494658" w14:textId="77777777" w:rsidR="002648B0" w:rsidRPr="00037E7B" w:rsidRDefault="002648B0" w:rsidP="00D64B66">
      <w:pPr>
        <w:pStyle w:val="Heading2"/>
        <w:rPr>
          <w:rFonts w:ascii="Times New Roman" w:hAnsi="Times New Roman"/>
        </w:rPr>
      </w:pPr>
      <w:bookmarkStart w:id="2" w:name="_Toc360188322"/>
      <w:bookmarkStart w:id="3" w:name="_Toc473560870"/>
      <w:bookmarkStart w:id="4" w:name="_Toc151714358"/>
      <w:r>
        <w:rPr>
          <w:rFonts w:ascii="Times New Roman" w:hAnsi="Times New Roman"/>
        </w:rPr>
        <w:t xml:space="preserve">OSA II: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LOMAKKEISIIN LIITTYVÄT OHJEET</w:t>
      </w:r>
      <w:bookmarkEnd w:id="2"/>
      <w:bookmarkEnd w:id="3"/>
      <w:bookmarkEnd w:id="4"/>
    </w:p>
    <w:p w14:paraId="76BE57B6" w14:textId="77777777" w:rsidR="00964546" w:rsidRPr="00037E7B" w:rsidRDefault="00964546" w:rsidP="00964546">
      <w:pPr>
        <w:rPr>
          <w:lang w:eastAsia="x-none"/>
        </w:rPr>
      </w:pPr>
    </w:p>
    <w:p w14:paraId="31A06314" w14:textId="70B4B7D9" w:rsidR="00964546" w:rsidRPr="00037E7B" w:rsidRDefault="00964546" w:rsidP="00964546">
      <w:r>
        <w:t xml:space="preserve">(…)</w:t>
      </w:r>
    </w:p>
    <w:p w14:paraId="607D2E45" w14:textId="2ECC5240" w:rsidR="00AB3069" w:rsidRPr="00037E7B" w:rsidRDefault="003E6AEB" w:rsidP="000059B8">
      <w:pPr>
        <w:pStyle w:val="Instructionsberschrift2"/>
        <w:numPr>
          <w:ilvl w:val="0"/>
          <w:numId w:val="0"/>
        </w:numPr>
        <w:ind w:left="357" w:hanging="357"/>
      </w:pPr>
      <w:bookmarkStart w:id="5" w:name="_Toc151714534"/>
      <w:bookmarkEnd w:id="0"/>
      <w:bookmarkEnd w:id="1"/>
      <w:r>
        <w:rPr>
          <w:sz w:val="24"/>
          <w:rFonts w:ascii="Times New Roman" w:hAnsi="Times New Roman"/>
        </w:rPr>
        <w:t xml:space="preserve">9.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Kaupankäyntivaraston ja markkinariskin kynnysarvot, kaupankäyntivaraston ja sen ulkopuolisten erien välinen raja ja uudelleenluokittelut</w:t>
      </w:r>
      <w:bookmarkEnd w:id="5"/>
    </w:p>
    <w:p w14:paraId="1FF5D1DF" w14:textId="771ED598" w:rsidR="00A4497F" w:rsidRPr="00037E7B" w:rsidRDefault="003E6AEB" w:rsidP="00A4497F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6" w:name="_Toc7084156"/>
      <w:bookmarkStart w:id="7" w:name="_Toc37168636"/>
      <w:bookmarkStart w:id="8" w:name="_Toc151714535"/>
      <w:r>
        <w:rPr>
          <w:sz w:val="24"/>
          <w:rFonts w:ascii="Times New Roman" w:hAnsi="Times New Roman"/>
        </w:rPr>
        <w:t xml:space="preserve">9.1</w:t>
      </w:r>
      <w:r>
        <w:rPr>
          <w:sz w:val="24"/>
          <w:rFonts w:ascii="Times New Roman" w:hAnsi="Times New Roman"/>
        </w:rPr>
        <w:tab/>
      </w:r>
      <w:bookmarkEnd w:id="6"/>
      <w:r>
        <w:rPr>
          <w:sz w:val="24"/>
          <w:rFonts w:ascii="Times New Roman" w:hAnsi="Times New Roman"/>
        </w:rPr>
        <w:t xml:space="preserve">C. 90.00 – Kaupankäyntivaraston ja markkinariskin kynnysarvot</w:t>
      </w:r>
      <w:bookmarkEnd w:id="7"/>
      <w:bookmarkEnd w:id="8"/>
    </w:p>
    <w:p w14:paraId="458F8B64" w14:textId="77777777" w:rsidR="00F65FA6" w:rsidRPr="00037E7B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bookmarkStart w:id="9" w:name="_Toc151714536"/>
      <w:r>
        <w:rPr>
          <w:u w:val="none"/>
          <w:sz w:val="24"/>
          <w:rFonts w:ascii="Times New Roman" w:hAnsi="Times New Roman"/>
        </w:rPr>
        <w:t xml:space="preserve">9.1.1</w:t>
      </w:r>
      <w:r>
        <w:rPr>
          <w:u w:val="none"/>
          <w:rFonts w:ascii="Times New Roman" w:hAnsi="Times New Roman"/>
        </w:rPr>
        <w:tab/>
      </w:r>
      <w:r>
        <w:rPr>
          <w:u w:val="none"/>
          <w:sz w:val="24"/>
          <w:rFonts w:ascii="Times New Roman" w:hAnsi="Times New Roman"/>
        </w:rPr>
        <w:t xml:space="preserve">Yleiset huomiot</w:t>
      </w:r>
    </w:p>
    <w:p w14:paraId="2EE35BE9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Tässä lomakkeessa annettavissa tiedoissa on otettava huomioon asetuksen (EU) N:o 575/2013 94 artiklassa tarkoitetun laskennan tulos (kaupankäyntivarastoon liittyvää pientä liiketoimintaa koskeva poikkeus) sekä asetuksen (EU) N:o 575/2013 325 a artiklan mukaisesti laskettu laitoksen tase-eriin ja taseen ulkopuolisiin eriin sisältyvän markkinariskille altistuvan liiketoiminnan koko.</w:t>
      </w:r>
    </w:p>
    <w:p w14:paraId="6349D8A7" w14:textId="77777777" w:rsidR="00F65FA6" w:rsidRPr="00037E7B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bookmarkStart w:id="10" w:name="_Toc37168638"/>
      <w:r>
        <w:rPr>
          <w:sz w:val="24"/>
          <w:u w:val="none"/>
          <w:rFonts w:ascii="Times New Roman" w:hAnsi="Times New Roman"/>
        </w:rPr>
        <w:t xml:space="preserve">9.1.2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Tiettyjä kohtia koskevat ohjeet</w:t>
      </w:r>
      <w:bookmarkEnd w:id="10"/>
    </w:p>
    <w:p w14:paraId="230964CC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Asetuksen (EU) N:o 575/2013 94 artiklassa tarkoitetun laskennan tulos ja asetuksen (EU) N:o 575/2013 325 a artiklan mukaisesti lasketut tiedot laitosten tase-eriin ja taseen ulkopuolisiin eriin sisältyvän markkinariskille altistuvan liiketoiminnan koosta on ilmoitettava riveillä 0010–0030 erikseen kunkin kuukauden lopulta siltä vuosineljännekseltä, johon kertomuksessa viitataan.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3"/>
        <w:gridCol w:w="7953"/>
      </w:tblGrid>
      <w:tr w:rsidR="00F65FA6" w:rsidRPr="00037E7B" w14:paraId="7A8AE764" w14:textId="77777777" w:rsidTr="00E02007">
        <w:tc>
          <w:tcPr>
            <w:tcW w:w="1063" w:type="dxa"/>
            <w:shd w:val="clear" w:color="auto" w:fill="BFBFBF" w:themeFill="background1" w:themeFillShade="BF"/>
          </w:tcPr>
          <w:p w14:paraId="3A6CAFB1" w14:textId="77777777" w:rsidR="00F65FA6" w:rsidRPr="00037E7B" w:rsidRDefault="00F65FA6" w:rsidP="00E02007">
            <w:pPr>
              <w:pStyle w:val="BodyText"/>
              <w:spacing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Rivi</w:t>
            </w:r>
          </w:p>
        </w:tc>
        <w:tc>
          <w:tcPr>
            <w:tcW w:w="7953" w:type="dxa"/>
            <w:shd w:val="clear" w:color="auto" w:fill="BFBFBF" w:themeFill="background1" w:themeFillShade="BF"/>
          </w:tcPr>
          <w:p w14:paraId="769CDB03" w14:textId="77777777" w:rsidR="00F65FA6" w:rsidRPr="00037E7B" w:rsidRDefault="00F65FA6" w:rsidP="00E02007">
            <w:pPr>
              <w:pStyle w:val="BodyText"/>
              <w:spacing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Lainsäädäntöviittaukset ja ohjeet</w:t>
            </w:r>
          </w:p>
        </w:tc>
      </w:tr>
      <w:tr w:rsidR="00F65FA6" w:rsidRPr="00037E7B" w14:paraId="3355BF5A" w14:textId="77777777" w:rsidTr="00E02007">
        <w:tc>
          <w:tcPr>
            <w:tcW w:w="1063" w:type="dxa"/>
          </w:tcPr>
          <w:p w14:paraId="3DDBD759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0010</w:t>
            </w:r>
          </w:p>
        </w:tc>
        <w:tc>
          <w:tcPr>
            <w:tcW w:w="7953" w:type="dxa"/>
          </w:tcPr>
          <w:p w14:paraId="35E13A17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Kuukausi 3</w:t>
            </w:r>
          </w:p>
          <w:p w14:paraId="1C7E4625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Tiedot raportin kohteena olevan vuosineljänneksen kolmannen kuukauden viimeisenä päivänä</w:t>
            </w:r>
          </w:p>
        </w:tc>
      </w:tr>
      <w:tr w:rsidR="00F65FA6" w:rsidRPr="00037E7B" w14:paraId="7B4ADC45" w14:textId="77777777" w:rsidTr="00E02007">
        <w:tc>
          <w:tcPr>
            <w:tcW w:w="1063" w:type="dxa"/>
          </w:tcPr>
          <w:p w14:paraId="7B9AA53A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0020</w:t>
            </w:r>
          </w:p>
        </w:tc>
        <w:tc>
          <w:tcPr>
            <w:tcW w:w="7953" w:type="dxa"/>
          </w:tcPr>
          <w:p w14:paraId="76C1917C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Kuukausi 2</w:t>
            </w:r>
          </w:p>
          <w:p w14:paraId="7AF74624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Tiedot raportin kohteena olevan vuosineljänneksen toisen kuukauden viimeisenä päivänä</w:t>
            </w:r>
          </w:p>
        </w:tc>
      </w:tr>
      <w:tr w:rsidR="00F65FA6" w:rsidRPr="00037E7B" w14:paraId="3D6489DB" w14:textId="77777777" w:rsidTr="00E02007">
        <w:tc>
          <w:tcPr>
            <w:tcW w:w="1063" w:type="dxa"/>
          </w:tcPr>
          <w:p w14:paraId="01F13363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0030</w:t>
            </w:r>
          </w:p>
        </w:tc>
        <w:tc>
          <w:tcPr>
            <w:tcW w:w="7953" w:type="dxa"/>
          </w:tcPr>
          <w:p w14:paraId="1D4D1B3C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Kuukausi 1</w:t>
            </w:r>
          </w:p>
          <w:p w14:paraId="321A7E1A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Tiedot raportin kohteena olevan vuosineljänneksen ensimmäisen kuukauden viimeisenä päivänä</w:t>
            </w:r>
          </w:p>
        </w:tc>
      </w:tr>
    </w:tbl>
    <w:p w14:paraId="55096B4D" w14:textId="77777777" w:rsidR="00F65FA6" w:rsidRPr="00037E7B" w:rsidRDefault="00F65FA6" w:rsidP="00F65FA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7973"/>
      </w:tblGrid>
      <w:tr w:rsidR="00F65FA6" w:rsidRPr="00037E7B" w14:paraId="6AF8CFCD" w14:textId="77777777" w:rsidTr="00E02007">
        <w:tc>
          <w:tcPr>
            <w:tcW w:w="1043" w:type="dxa"/>
            <w:shd w:val="clear" w:color="auto" w:fill="BFBFBF" w:themeFill="background1" w:themeFillShade="BF"/>
          </w:tcPr>
          <w:p w14:paraId="65665385" w14:textId="77777777" w:rsidR="00F65FA6" w:rsidRPr="00037E7B" w:rsidRDefault="00F65FA6" w:rsidP="00E02007">
            <w:pPr>
              <w:pStyle w:val="BodyText"/>
              <w:spacing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Sarake</w:t>
            </w:r>
          </w:p>
        </w:tc>
        <w:tc>
          <w:tcPr>
            <w:tcW w:w="7973" w:type="dxa"/>
            <w:shd w:val="clear" w:color="auto" w:fill="BFBFBF" w:themeFill="background1" w:themeFillShade="BF"/>
          </w:tcPr>
          <w:p w14:paraId="219EFA66" w14:textId="77777777" w:rsidR="00F65FA6" w:rsidRPr="00037E7B" w:rsidRDefault="00F65FA6" w:rsidP="00E02007">
            <w:pPr>
              <w:pStyle w:val="BodyText"/>
              <w:spacing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Lainsäädäntöviittaukset ja ohjeet</w:t>
            </w:r>
          </w:p>
        </w:tc>
      </w:tr>
      <w:tr w:rsidR="00F65FA6" w:rsidRPr="00037E7B" w14:paraId="57E5CA86" w14:textId="77777777" w:rsidTr="00E02007">
        <w:tc>
          <w:tcPr>
            <w:tcW w:w="1043" w:type="dxa"/>
          </w:tcPr>
          <w:p w14:paraId="6648E6E1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0010</w:t>
            </w:r>
          </w:p>
        </w:tc>
        <w:tc>
          <w:tcPr>
            <w:tcW w:w="7973" w:type="dxa"/>
          </w:tcPr>
          <w:p w14:paraId="15CE25E0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Tase-eriin ja taseen ulkopuolisiin eriin sisältyvä markkinariskille altistuva liiketoiminta</w:t>
            </w:r>
          </w:p>
          <w:p w14:paraId="208FB794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Asetuksen (EU) N:o 575/2013 325 a artiklan 2 kohta.</w:t>
            </w:r>
          </w:p>
          <w:p w14:paraId="44825AE5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Laitosten on ilmoitettava absoluuttinen määrä, joka vastaa asetuksen (EU) N:o 575/2013 325 a artiklan 2 kohdan mukaisesti laskettua laitosten tase-eriin ja taseen ulkopuolisiin eriin sisältyvää markkinariskille altistuvaa liiketoimintaa.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65FA6" w:rsidRPr="00037E7B" w14:paraId="5EBC2E16" w14:textId="77777777" w:rsidTr="00E02007">
        <w:tc>
          <w:tcPr>
            <w:tcW w:w="1043" w:type="dxa"/>
          </w:tcPr>
          <w:p w14:paraId="25974D86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0020–0060</w:t>
            </w:r>
          </w:p>
        </w:tc>
        <w:tc>
          <w:tcPr>
            <w:tcW w:w="7973" w:type="dxa"/>
          </w:tcPr>
          <w:p w14:paraId="3885D529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Sääntelyn mukainen erittely</w:t>
            </w:r>
          </w:p>
          <w:p w14:paraId="014F6AAD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Tase-eriin ja taseen ulkopuolisiin eriin sisältyvä markkinariskille altistuva liiketoiminta on eriteltävä kaupankäyntivaraston ja sen ulkopuolisten erien mukaan.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65FA6" w:rsidRPr="00037E7B" w14:paraId="5E57F79B" w14:textId="77777777" w:rsidTr="00E02007">
        <w:tc>
          <w:tcPr>
            <w:tcW w:w="1043" w:type="dxa"/>
          </w:tcPr>
          <w:p w14:paraId="7440E785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0020–0040</w:t>
            </w:r>
          </w:p>
        </w:tc>
        <w:tc>
          <w:tcPr>
            <w:tcW w:w="7973" w:type="dxa"/>
          </w:tcPr>
          <w:p w14:paraId="78FEC356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Kaupankäyntivarasto</w:t>
            </w:r>
          </w:p>
          <w:p w14:paraId="6098BB58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Kaupankäyntivarastoon osoitetut positiot, jotka sisältyvät asetuksen (EU) N:o 575/2013 325 a artiklan 2 kohdan mukaiseen laskentaan.</w:t>
            </w:r>
          </w:p>
        </w:tc>
      </w:tr>
      <w:tr w:rsidR="00F65FA6" w:rsidRPr="00037E7B" w14:paraId="63198C07" w14:textId="77777777" w:rsidTr="00E02007">
        <w:tc>
          <w:tcPr>
            <w:tcW w:w="1043" w:type="dxa"/>
          </w:tcPr>
          <w:p w14:paraId="6FC2F0F0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0030–0040</w:t>
            </w:r>
          </w:p>
        </w:tc>
        <w:tc>
          <w:tcPr>
            <w:tcW w:w="7973" w:type="dxa"/>
          </w:tcPr>
          <w:p w14:paraId="24A21C27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Joista: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u w:val="single"/>
                <w:rFonts w:ascii="Times New Roman" w:hAnsi="Times New Roman"/>
              </w:rPr>
              <w:t xml:space="preserve">kaupankäyntivarastoon liittyvä liiketoiminta asetuksen (EU) N:o 575/2013 94 artiklan soveltamiseksi</w:t>
            </w:r>
          </w:p>
          <w:p w14:paraId="7A1ECC78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Asetuksen (EU) N:o 575/2013 94 artiklan 3 kohta</w:t>
            </w:r>
          </w:p>
          <w:p w14:paraId="0A9722AA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Kuten asetuksen (EU) N:o 575/2013 94 artiklan 3 kohdan b alakohdassa edellytetään, laitosten on ilmoitettava kuukauden viimeisen päivän markkina-arvot;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jos markkina-arvoja ei ole saatavilla, ilmoitetaan käypä arvo samana päivänä tai, jos kyseisen päivän markkina-arvoja ja käypiä arvoja ei ole saatavilla, viimeisin markkina-arvo tai käypä arvo.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65FA6" w:rsidRPr="00037E7B" w14:paraId="1BA6F191" w14:textId="77777777" w:rsidTr="00E02007">
        <w:tc>
          <w:tcPr>
            <w:tcW w:w="1043" w:type="dxa"/>
          </w:tcPr>
          <w:p w14:paraId="661DD231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0030</w:t>
            </w:r>
          </w:p>
        </w:tc>
        <w:tc>
          <w:tcPr>
            <w:tcW w:w="7973" w:type="dxa"/>
          </w:tcPr>
          <w:p w14:paraId="21157FFD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Kokonaismäärä</w:t>
            </w:r>
          </w:p>
          <w:p w14:paraId="50DBCCC0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Asetuksen (EU) N:o 575/2013 94 artiklan 3 kohta.</w:t>
            </w:r>
          </w:p>
          <w:p w14:paraId="1B4AB24D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Pitkien ja lyhyiden positioiden absoluuttinen määrä lasketaan yhteen asetuksen (EU) N:o 575/2013 94 artiklan 3 kohdan c alakohdan mukaisesti.</w:t>
            </w:r>
          </w:p>
        </w:tc>
      </w:tr>
      <w:tr w:rsidR="00F65FA6" w:rsidRPr="00037E7B" w14:paraId="39EFF6D7" w14:textId="77777777" w:rsidTr="00E02007">
        <w:tc>
          <w:tcPr>
            <w:tcW w:w="1043" w:type="dxa"/>
          </w:tcPr>
          <w:p w14:paraId="6E8E06FD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0040</w:t>
            </w:r>
          </w:p>
        </w:tc>
        <w:tc>
          <w:tcPr>
            <w:tcW w:w="7973" w:type="dxa"/>
          </w:tcPr>
          <w:p w14:paraId="59AF0468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% kokonaisvaroista</w:t>
            </w:r>
          </w:p>
          <w:p w14:paraId="2A48E439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Asetuksen (EU) N:o 575/2013 94 artiklan 1 kohdan a alakohta.</w:t>
            </w:r>
          </w:p>
          <w:p w14:paraId="49681B66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Asetuksen (EU) N:o 575/2013 94 artiklaa sovellettaessa kaupankäyntivarastoon liittyvän liiketoiminnan koko on ilmaistava prosenttiosuutena kokonaisvaroista.</w:t>
            </w:r>
          </w:p>
        </w:tc>
      </w:tr>
      <w:tr w:rsidR="00F65FA6" w:rsidRPr="00037E7B" w14:paraId="2C1E41CE" w14:textId="77777777" w:rsidTr="00E02007">
        <w:tc>
          <w:tcPr>
            <w:tcW w:w="1043" w:type="dxa"/>
          </w:tcPr>
          <w:p w14:paraId="45DD6754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0050–0060</w:t>
            </w:r>
          </w:p>
        </w:tc>
        <w:tc>
          <w:tcPr>
            <w:tcW w:w="7973" w:type="dxa"/>
          </w:tcPr>
          <w:p w14:paraId="59D1D775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Kaupankäyntivaraston ulkopuoliset erät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</w:p>
          <w:p w14:paraId="62438A74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Kaupankäyntivaraston ulkopuolisiksi osoitetut positiot, jotka sisältyvät asetuksen (EU) N:o 575/2013 325 a artiklan 2 kohdan mukaiseen laskentaan.</w:t>
            </w:r>
          </w:p>
          <w:p w14:paraId="54237402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Laitosten on ilmoitettava markkinariskille altistuvat kaupankäyntivaraston ulkopuoliset positiot jaoteltuina positioihin, joihin kohdistuu valuuttakurssiriskejä, ja positioihin, joihin kohdistuu hyödykeriskejä.</w:t>
            </w:r>
          </w:p>
          <w:p w14:paraId="6F2651D5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Asianomaiset määrät on määritettävä asetuksen (EU) N:o 575/2013 325 a artiklan 2 kohdan d ja e alakohdan mukaisesti.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65FA6" w:rsidRPr="00037E7B" w14:paraId="15FBA6A1" w14:textId="77777777" w:rsidTr="00E02007">
        <w:tc>
          <w:tcPr>
            <w:tcW w:w="1043" w:type="dxa"/>
          </w:tcPr>
          <w:p w14:paraId="1FCF4531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0070</w:t>
            </w:r>
          </w:p>
        </w:tc>
        <w:tc>
          <w:tcPr>
            <w:tcW w:w="7973" w:type="dxa"/>
          </w:tcPr>
          <w:p w14:paraId="6D9E3BF8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% kokonaisvaroista</w:t>
            </w:r>
          </w:p>
          <w:p w14:paraId="6A6F8AC2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Asetuksen (EU) N:o 575/2013 325 a artiklan 1 kohdan a alakohta.</w:t>
            </w:r>
          </w:p>
          <w:p w14:paraId="542B2372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Tase-eriin ja taseen ulkopuolisiin eriin sisältyvä markkinariskille altistuva liiketoiminta on ilmaistava prosenttiosuutena kokonaisvaroista.</w:t>
            </w:r>
          </w:p>
        </w:tc>
      </w:tr>
      <w:tr w:rsidR="00F65FA6" w:rsidRPr="00037E7B" w14:paraId="74752559" w14:textId="77777777" w:rsidTr="00E02007">
        <w:tc>
          <w:tcPr>
            <w:tcW w:w="1043" w:type="dxa"/>
          </w:tcPr>
          <w:p w14:paraId="72343CA3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0080</w:t>
            </w:r>
          </w:p>
        </w:tc>
        <w:tc>
          <w:tcPr>
            <w:tcW w:w="7973" w:type="dxa"/>
          </w:tcPr>
          <w:p w14:paraId="5907245C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Kokonaisvarat</w:t>
            </w:r>
          </w:p>
          <w:p w14:paraId="020AD40A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Asetuksen (EU) N:o 575/2013 94 artiklan 1 kohdan a alakohta ja 325 a artiklan 1 kohdan a alakohta.</w:t>
            </w:r>
          </w:p>
        </w:tc>
      </w:tr>
    </w:tbl>
    <w:p w14:paraId="2C563A95" w14:textId="77777777" w:rsidR="00F65FA6" w:rsidRPr="00037E7B" w:rsidRDefault="00F65FA6" w:rsidP="00F65FA6">
      <w:pPr>
        <w:rPr>
          <w:rFonts w:ascii="Times New Roman" w:hAnsi="Times New Roman"/>
          <w:sz w:val="24"/>
        </w:rPr>
      </w:pPr>
    </w:p>
    <w:p w14:paraId="3D64E99A" w14:textId="053F6133" w:rsidR="00AB3069" w:rsidRPr="00037E7B" w:rsidRDefault="003E6AEB" w:rsidP="000059B8">
      <w:pPr>
        <w:pStyle w:val="Instructionsberschrift2"/>
        <w:numPr>
          <w:ilvl w:val="0"/>
          <w:numId w:val="0"/>
        </w:numPr>
        <w:ind w:left="357" w:hanging="357"/>
      </w:pPr>
      <w:r>
        <w:rPr>
          <w:sz w:val="24"/>
          <w:rFonts w:ascii="Times New Roman" w:hAnsi="Times New Roman"/>
        </w:rPr>
        <w:t xml:space="preserve">9.2 Kaupankäyntivaraston ja sen ulkopuolisten erien välinen raja (BOU)</w:t>
      </w:r>
      <w:bookmarkEnd w:id="9"/>
    </w:p>
    <w:p w14:paraId="2D9236ED" w14:textId="27F33E1C" w:rsidR="009B2CA6" w:rsidRPr="00037E7B" w:rsidRDefault="00A5627D" w:rsidP="009B2CA6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1" w:name="_Toc151714537"/>
      <w:r>
        <w:rPr>
          <w:sz w:val="24"/>
          <w:rFonts w:ascii="Times New Roman" w:hAnsi="Times New Roman"/>
        </w:rPr>
        <w:t xml:space="preserve">9.2.1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Yleiset huomiot</w:t>
      </w:r>
      <w:bookmarkEnd w:id="11"/>
    </w:p>
    <w:p w14:paraId="5D51F5A4" w14:textId="105C86A5" w:rsidR="009B2CA6" w:rsidRPr="00037E7B" w:rsidRDefault="000B3833" w:rsidP="00660845">
      <w:pPr>
        <w:pStyle w:val="InstructionsText2"/>
        <w:numPr>
          <w:ilvl w:val="0"/>
          <w:numId w:val="0"/>
        </w:numPr>
      </w:pPr>
      <w:r>
        <w:t xml:space="preserve">209a.</w:t>
      </w:r>
      <w:r>
        <w:t xml:space="preserve"> </w:t>
      </w:r>
      <w:r>
        <w:t xml:space="preserve">Tätä lomaketta käytetään tietojen antamiseen kaupankäyntivaraston koostumuksesta (BOU1) kun otetaan huomioon olettamukset instrumenttien sisällyttämisestä kirjanpitoon asetuksen (EU) N:o 575/2013 104 artiklan mukaisesti.</w:t>
      </w:r>
      <w:r>
        <w:t xml:space="preserve"> </w:t>
      </w:r>
    </w:p>
    <w:p w14:paraId="6EE2D450" w14:textId="77777777" w:rsidR="00015197" w:rsidRPr="00037E7B" w:rsidRDefault="00A5627D" w:rsidP="009B2CA6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2" w:name="_Toc151714538"/>
      <w:r>
        <w:rPr>
          <w:sz w:val="24"/>
          <w:rFonts w:ascii="Times New Roman" w:hAnsi="Times New Roman"/>
        </w:rPr>
        <w:t xml:space="preserve">9.2.2</w:t>
      </w:r>
      <w:r>
        <w:rPr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 90.05 – Raja: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Kaupankäyntivarasto (BOU1)</w:t>
      </w:r>
      <w:bookmarkEnd w:id="12"/>
    </w:p>
    <w:p w14:paraId="642D4D18" w14:textId="1B329C57" w:rsidR="00015197" w:rsidRPr="00037E7B" w:rsidRDefault="00015197" w:rsidP="009B2CA6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3" w:name="_Toc151714539"/>
      <w:r>
        <w:rPr>
          <w:sz w:val="24"/>
          <w:rFonts w:ascii="Times New Roman" w:hAnsi="Times New Roman"/>
        </w:rPr>
        <w:t xml:space="preserve">9.2.2.1 Yleiset huomiot</w:t>
      </w:r>
      <w:bookmarkEnd w:id="13"/>
    </w:p>
    <w:p w14:paraId="4E94C71F" w14:textId="73207B56" w:rsidR="00D87969" w:rsidRPr="00037E7B" w:rsidRDefault="000B3833" w:rsidP="00D53CED">
      <w:pPr>
        <w:pStyle w:val="InstructionsText2"/>
        <w:numPr>
          <w:ilvl w:val="0"/>
          <w:numId w:val="0"/>
        </w:numPr>
        <w:rPr>
          <w:noProof/>
        </w:rPr>
      </w:pPr>
      <w:r>
        <w:t xml:space="preserve">209b.</w:t>
      </w:r>
      <w:r>
        <w:t xml:space="preserve"> </w:t>
      </w:r>
      <w:r>
        <w:t xml:space="preserve">Laitosten on ilmoitettava tässä lomakkeessa kaikki asetuksen (EU) N:o 575/2013 4 artiklan 1 kohdan 85 alakohdassa tarkoitetut kaupankäyntivarastoon osoitetut positiot, lukuun ottamatta instrumentteja ja positioita, jotka on jätetty asetuksen (EU) N:o 575/2013 325 a artiklassa tarkoitetun kynnysarvon laskemisen ulkopuolelle. </w:t>
      </w:r>
      <w:r>
        <w:br/>
      </w:r>
      <w:r>
        <w:t xml:space="preserve">209c. Poiketen siitä, mitä asetuksen (EU) 2021/451 21 artiklan 1 kohdan a alakohdassa säädetään, laitosten on ilmoitettava nolla riveillä 0010 ja 0020, sarakkeissa 0020 (”Pakollisesti kaupankäyntivarastossa”), 0130 (”Kaupankäyntivarastoon toimivaltaisen viranomaisen suostumuksella sisällytetyt instrumentit:</w:t>
      </w:r>
      <w:r>
        <w:t xml:space="preserve"> </w:t>
      </w:r>
      <w:r>
        <w:t xml:space="preserve">instrumentit hedgerahastoissa”) ja 0140 (”Muut instrumentit”), jos niiden kaupankäyntivarastoon ei sisälly kyseisen solun kuvausta vastaavia instrumentteja.</w:t>
      </w:r>
    </w:p>
    <w:p w14:paraId="032CBDD2" w14:textId="553C54FC" w:rsidR="00056154" w:rsidRPr="00037E7B" w:rsidRDefault="00056154">
      <w:pPr>
        <w:pStyle w:val="InstructionsText2"/>
        <w:numPr>
          <w:ilvl w:val="0"/>
          <w:numId w:val="0"/>
        </w:numPr>
        <w:rPr>
          <w:noProof/>
        </w:rPr>
      </w:pPr>
    </w:p>
    <w:p w14:paraId="2C4982B9" w14:textId="526F501C" w:rsidR="009B2CA6" w:rsidRPr="00037E7B" w:rsidRDefault="00015197" w:rsidP="009B2CA6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4" w:name="_Toc151714540"/>
      <w:r>
        <w:rPr>
          <w:sz w:val="24"/>
          <w:rFonts w:ascii="Times New Roman" w:hAnsi="Times New Roman"/>
        </w:rPr>
        <w:t xml:space="preserve">9.2.2.2</w:t>
      </w:r>
      <w:r>
        <w:rPr>
          <w:sz w:val="24"/>
          <w:rFonts w:ascii="Times New Roman" w:hAnsi="Times New Roman"/>
        </w:rPr>
        <w:t xml:space="preserve"> Tiettyjä positioita koskevat ohjeet</w:t>
      </w:r>
      <w:bookmarkEnd w:id="14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7813"/>
      </w:tblGrid>
      <w:tr w:rsidR="009B2CA6" w:rsidRPr="00037E7B" w14:paraId="15D9E2A5" w14:textId="77777777">
        <w:tc>
          <w:tcPr>
            <w:tcW w:w="1203" w:type="dxa"/>
            <w:shd w:val="clear" w:color="auto" w:fill="BFBFBF" w:themeFill="background1" w:themeFillShade="BF"/>
          </w:tcPr>
          <w:p w14:paraId="1B28CD80" w14:textId="77777777" w:rsidR="009B2CA6" w:rsidRPr="00037E7B" w:rsidRDefault="009B2CA6">
            <w:pPr>
              <w:pStyle w:val="BodyText"/>
              <w:spacing w:before="120"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Sarake</w:t>
            </w:r>
          </w:p>
        </w:tc>
        <w:tc>
          <w:tcPr>
            <w:tcW w:w="7813" w:type="dxa"/>
            <w:shd w:val="clear" w:color="auto" w:fill="BFBFBF" w:themeFill="background1" w:themeFillShade="BF"/>
          </w:tcPr>
          <w:p w14:paraId="07605642" w14:textId="77777777" w:rsidR="009B2CA6" w:rsidRPr="00037E7B" w:rsidRDefault="009B2CA6">
            <w:pPr>
              <w:pStyle w:val="BodyText"/>
              <w:spacing w:before="120"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Lainsäädäntöviittaukset ja ohjeet</w:t>
            </w:r>
          </w:p>
        </w:tc>
      </w:tr>
      <w:tr w:rsidR="009B2CA6" w:rsidRPr="00037E7B" w14:paraId="55E2B293" w14:textId="77777777">
        <w:trPr>
          <w:trHeight w:val="70"/>
        </w:trPr>
        <w:tc>
          <w:tcPr>
            <w:tcW w:w="1203" w:type="dxa"/>
          </w:tcPr>
          <w:p w14:paraId="62D87E0D" w14:textId="7B0469E1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0010–0150</w:t>
            </w:r>
          </w:p>
        </w:tc>
        <w:tc>
          <w:tcPr>
            <w:tcW w:w="7813" w:type="dxa"/>
            <w:vAlign w:val="bottom"/>
          </w:tcPr>
          <w:p w14:paraId="266895B6" w14:textId="221A0953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Kaupankäyntivarasto: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u w:val="single"/>
                <w:rFonts w:ascii="Times New Roman" w:hAnsi="Times New Roman"/>
              </w:rPr>
              <w:t xml:space="preserve">Kokonaispositiot: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u w:val="single"/>
                <w:rFonts w:ascii="Times New Roman" w:hAnsi="Times New Roman"/>
              </w:rPr>
              <w:t xml:space="preserve">Asetuksen (EU) N:o 575/2013 325 a artiklan mukainen arvo (netto, (+) positiivinen / (−) negatiivinen markkina-arvo)</w:t>
            </w:r>
          </w:p>
          <w:p w14:paraId="00ABD96B" w14:textId="77777777" w:rsidR="009B2CA6" w:rsidRPr="00037E7B" w:rsidRDefault="009B2CA6" w:rsidP="000561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Asetuksen (EU) N:o 575/2013 4 artiklan 1 kohdan 86 alakohta, 104 artikla ja 325 a artiklan 2 kohdan a alakohta.</w:t>
            </w:r>
          </w:p>
          <w:p w14:paraId="467A1E21" w14:textId="008DABF1" w:rsidR="0061609C" w:rsidRPr="00037E7B" w:rsidRDefault="0061609C" w:rsidP="000561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t xml:space="preserve">Laitosten on ilmoitettava erikseen yhdistetyt tiedot pitkistä positioista ja yhdistetyt tiedot lyhyistä positioista.</w:t>
            </w:r>
            <w:r>
              <w:t xml:space="preserve"> </w:t>
            </w:r>
            <w:r>
              <w:t xml:space="preserve">Niiden on määritettävä pitkien (lyhyiden) positioiden yhteenlaskettu arvo asetuksen (EU) N:o 575/2013 325 a artiklan 2 kohdan mukaisesti seuraavin poikkeuksin:</w:t>
            </w:r>
            <w:r>
              <w:t xml:space="preserve"> </w:t>
            </w:r>
            <w:r>
              <w:t xml:space="preserve">jos pitkien (lyhyiden) positioiden yhteenlaskettu arvo vastaa positiivista nettomarkkina-arvoa, tässä lomakkeessa ilmoitetaan positiivinen arvo;</w:t>
            </w:r>
            <w:r>
              <w:t xml:space="preserve"> </w:t>
            </w:r>
            <w:r>
              <w:t xml:space="preserve">jos pitkien (lyhyiden) positioiden yhteenlaskettu arvo vastaa negatiivista nettomarkkina-arvoa, tässä lomakkeessa ilmoitetaan negatiivinen arvo.</w:t>
            </w:r>
          </w:p>
        </w:tc>
      </w:tr>
      <w:tr w:rsidR="009B2CA6" w:rsidRPr="00037E7B" w14:paraId="508C4AB7" w14:textId="77777777">
        <w:tc>
          <w:tcPr>
            <w:tcW w:w="1203" w:type="dxa"/>
          </w:tcPr>
          <w:p w14:paraId="502BC619" w14:textId="735ED871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0010</w:t>
            </w:r>
          </w:p>
        </w:tc>
        <w:tc>
          <w:tcPr>
            <w:tcW w:w="7813" w:type="dxa"/>
            <w:vAlign w:val="bottom"/>
          </w:tcPr>
          <w:p w14:paraId="3A5B9DDA" w14:textId="7548675F" w:rsidR="009B2CA6" w:rsidRPr="00037E7B" w:rsidRDefault="0061609C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Kokonaispositiot – joista: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u w:val="single"/>
                <w:rFonts w:ascii="Times New Roman" w:hAnsi="Times New Roman"/>
              </w:rPr>
              <w:t xml:space="preserve">ulkomaan valuutan määräiset</w:t>
            </w:r>
          </w:p>
          <w:p w14:paraId="67C375D5" w14:textId="58B41269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Tässä sarakkeessa ilmoitetaan instrumentit, jotka ovat muun valuutan kuin raportointivaluutan määräisiä, joiden kohde-etuus on tällaisen valuutan määräinen tai joiden kohde-etuutena on valuuttapositio.</w:t>
            </w:r>
          </w:p>
        </w:tc>
      </w:tr>
      <w:tr w:rsidR="009B2CA6" w:rsidRPr="00037E7B" w14:paraId="03CCA48F" w14:textId="77777777">
        <w:tc>
          <w:tcPr>
            <w:tcW w:w="1203" w:type="dxa"/>
          </w:tcPr>
          <w:p w14:paraId="311B1C42" w14:textId="2702B59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0020–0120</w:t>
            </w:r>
          </w:p>
        </w:tc>
        <w:tc>
          <w:tcPr>
            <w:tcW w:w="7813" w:type="dxa"/>
            <w:vAlign w:val="bottom"/>
          </w:tcPr>
          <w:p w14:paraId="7817D847" w14:textId="2DFC160D" w:rsidR="009B2CA6" w:rsidRPr="00037E7B" w:rsidRDefault="0061609C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Kokonaispositiot – Pakollisesti kaupankäyntivarastossa</w:t>
            </w:r>
          </w:p>
          <w:p w14:paraId="45D126DC" w14:textId="42024198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Jos instrumentti täyttää useamman kuin yhden kaupankäyntivarastoon sisällyttämistä koskevan edellytyksen, laitosten on ilmoitettava kyseinen instrumentti sarakkeissa 0030–0120 sopivimmaksi katsomassaan sarakkeessa.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Instrumentit, jotka on tilinpäätössäännöstön mukaisesti luokiteltu kaupankäyntitarkoitukseen, ilmoitetaan sarakkeessa 0120 vain, jos niitä ei voida osoittaa sarakkeisiin 0030–0110.</w:t>
            </w:r>
          </w:p>
        </w:tc>
      </w:tr>
      <w:tr w:rsidR="009B2CA6" w:rsidRPr="00037E7B" w14:paraId="6AC9BF62" w14:textId="77777777">
        <w:tc>
          <w:tcPr>
            <w:tcW w:w="1203" w:type="dxa"/>
          </w:tcPr>
          <w:p w14:paraId="5CD1C53C" w14:textId="3AE6C82A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0020</w:t>
            </w:r>
          </w:p>
        </w:tc>
        <w:tc>
          <w:tcPr>
            <w:tcW w:w="7813" w:type="dxa"/>
            <w:vAlign w:val="bottom"/>
          </w:tcPr>
          <w:p w14:paraId="76886CFB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Pakollisesti kaupankäyntivarastossa</w:t>
            </w:r>
          </w:p>
        </w:tc>
      </w:tr>
      <w:tr w:rsidR="009B2CA6" w:rsidRPr="00037E7B" w14:paraId="1DB81A60" w14:textId="77777777">
        <w:tc>
          <w:tcPr>
            <w:tcW w:w="1203" w:type="dxa"/>
          </w:tcPr>
          <w:p w14:paraId="58C00983" w14:textId="4299CC1F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0030</w:t>
            </w:r>
          </w:p>
        </w:tc>
        <w:tc>
          <w:tcPr>
            <w:tcW w:w="7813" w:type="dxa"/>
          </w:tcPr>
          <w:p w14:paraId="5A39CA9E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Instrumentit korrelaatiokaupankäyntisalkussa</w:t>
            </w:r>
          </w:p>
          <w:p w14:paraId="761EFC0B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Asetuksen (EU) N:o 575/2013 104 artiklan 2 kohdan ensimmäisen alakohdan a alakohta</w:t>
            </w:r>
          </w:p>
        </w:tc>
      </w:tr>
      <w:tr w:rsidR="009B2CA6" w:rsidRPr="00037E7B" w14:paraId="6F489832" w14:textId="77777777">
        <w:tc>
          <w:tcPr>
            <w:tcW w:w="1203" w:type="dxa"/>
          </w:tcPr>
          <w:p w14:paraId="3AD88966" w14:textId="2138AB7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0040</w:t>
            </w:r>
          </w:p>
        </w:tc>
        <w:tc>
          <w:tcPr>
            <w:tcW w:w="7813" w:type="dxa"/>
          </w:tcPr>
          <w:p w14:paraId="201BF48F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Instrumentit, jotka aiheuttaisivat nettomääräisen lyhyen luottoposition tai osakeposition kaupankäyntivarastossa</w:t>
            </w:r>
          </w:p>
          <w:p w14:paraId="6B81D801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Asetuksen (EU) N:o 575/2013 104 artiklan 2 kohdan ensimmäisen alakohdan b alakohta</w:t>
            </w:r>
          </w:p>
        </w:tc>
      </w:tr>
      <w:tr w:rsidR="009B2CA6" w:rsidRPr="00037E7B" w14:paraId="2681A203" w14:textId="77777777">
        <w:tc>
          <w:tcPr>
            <w:tcW w:w="1203" w:type="dxa"/>
          </w:tcPr>
          <w:p w14:paraId="4F039D7D" w14:textId="1615A9ED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0050</w:t>
            </w:r>
          </w:p>
        </w:tc>
        <w:tc>
          <w:tcPr>
            <w:tcW w:w="7813" w:type="dxa"/>
          </w:tcPr>
          <w:p w14:paraId="58BDB0D5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Instrumentit, jotka ovat seurausta arvopapereiden merkintäsitoumuksista</w:t>
            </w:r>
          </w:p>
          <w:p w14:paraId="0035AEDA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Asetuksen (EU) N:o 575/2013 104 artiklan 2 kohdan ensimmäisen alakohdan c alakohta</w:t>
            </w:r>
          </w:p>
        </w:tc>
      </w:tr>
      <w:tr w:rsidR="009B2CA6" w:rsidRPr="00037E7B" w14:paraId="0F150DD0" w14:textId="77777777">
        <w:tc>
          <w:tcPr>
            <w:tcW w:w="1203" w:type="dxa"/>
          </w:tcPr>
          <w:p w14:paraId="56310523" w14:textId="5824B274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0060</w:t>
            </w:r>
          </w:p>
        </w:tc>
        <w:tc>
          <w:tcPr>
            <w:tcW w:w="7813" w:type="dxa"/>
          </w:tcPr>
          <w:p w14:paraId="319EF2D9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instrumentit, jotka ovat seurausta markkinatakaustoiminnasta</w:t>
            </w:r>
          </w:p>
          <w:p w14:paraId="39D72E39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Asetuksen (EU) N:o 575/2013 104 artiklan 2 kohdan ensimmäisen alakohdan e alakohta</w:t>
            </w:r>
          </w:p>
        </w:tc>
      </w:tr>
      <w:tr w:rsidR="009B2CA6" w:rsidRPr="00037E7B" w14:paraId="3EEE4A44" w14:textId="77777777">
        <w:tc>
          <w:tcPr>
            <w:tcW w:w="1203" w:type="dxa"/>
          </w:tcPr>
          <w:p w14:paraId="35BF9484" w14:textId="12DEDF5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0070</w:t>
            </w:r>
          </w:p>
        </w:tc>
        <w:tc>
          <w:tcPr>
            <w:tcW w:w="7813" w:type="dxa"/>
          </w:tcPr>
          <w:p w14:paraId="11B16F63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Yhteissijoitusyritykset</w:t>
            </w:r>
          </w:p>
          <w:p w14:paraId="5F0ADDDD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Asetuksen (EU) N:o 575/2013 104 artiklan 2 kohdan ensimmäisen alakohdan f alakohta</w:t>
            </w:r>
          </w:p>
        </w:tc>
      </w:tr>
      <w:tr w:rsidR="009B2CA6" w:rsidRPr="00037E7B" w14:paraId="39B1FCD7" w14:textId="77777777">
        <w:tc>
          <w:tcPr>
            <w:tcW w:w="1203" w:type="dxa"/>
          </w:tcPr>
          <w:p w14:paraId="56A3EA85" w14:textId="5D6B9DAD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0080</w:t>
            </w:r>
          </w:p>
        </w:tc>
        <w:tc>
          <w:tcPr>
            <w:tcW w:w="7813" w:type="dxa"/>
          </w:tcPr>
          <w:p w14:paraId="6968C5A8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Julkisesti noteeratut osakkeet</w:t>
            </w:r>
          </w:p>
          <w:p w14:paraId="7373B9F6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Asetuksen (EU) N:o 575/2013 104 artiklan 2 kohdan ensimmäisen alakohdan g alakohta</w:t>
            </w:r>
          </w:p>
        </w:tc>
      </w:tr>
      <w:tr w:rsidR="009B2CA6" w:rsidRPr="00037E7B" w14:paraId="2C868D17" w14:textId="77777777">
        <w:tc>
          <w:tcPr>
            <w:tcW w:w="1203" w:type="dxa"/>
          </w:tcPr>
          <w:p w14:paraId="7C3DA249" w14:textId="2DCB2DC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0090</w:t>
            </w:r>
          </w:p>
        </w:tc>
        <w:tc>
          <w:tcPr>
            <w:tcW w:w="7813" w:type="dxa"/>
          </w:tcPr>
          <w:p w14:paraId="6387D715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Kaupankäyntiin liittyvät arvopapereilla toteutettavat rahoitustoimet</w:t>
            </w:r>
          </w:p>
          <w:p w14:paraId="6D53378A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Asetuksen (EU) N:o 575/2013 104 artiklan 2 kohdan ensimmäisen alakohdan h alakohta</w:t>
            </w:r>
          </w:p>
        </w:tc>
      </w:tr>
      <w:tr w:rsidR="009B2CA6" w:rsidRPr="00037E7B" w14:paraId="51E19E34" w14:textId="77777777">
        <w:tc>
          <w:tcPr>
            <w:tcW w:w="1203" w:type="dxa"/>
          </w:tcPr>
          <w:p w14:paraId="40DF6AD2" w14:textId="66A7EFB3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0100</w:t>
            </w:r>
          </w:p>
        </w:tc>
        <w:tc>
          <w:tcPr>
            <w:tcW w:w="7813" w:type="dxa"/>
          </w:tcPr>
          <w:p w14:paraId="5611CE5C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Optiot tai muut johdannaiset, jotka on kytketty laitoksen omiin velkoihin (jaetut)</w:t>
            </w:r>
          </w:p>
          <w:p w14:paraId="0426719F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Asetuksen (EU) N:o 575/2013 104 artiklan 2 kohdan ensimmäisen alakohdan i alakohta ja kolmas alakohta</w:t>
            </w:r>
          </w:p>
        </w:tc>
      </w:tr>
      <w:tr w:rsidR="009B2CA6" w:rsidRPr="00037E7B" w14:paraId="0BD2C394" w14:textId="77777777">
        <w:tc>
          <w:tcPr>
            <w:tcW w:w="1203" w:type="dxa"/>
          </w:tcPr>
          <w:p w14:paraId="577F08A1" w14:textId="53A3A002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0110</w:t>
            </w:r>
          </w:p>
        </w:tc>
        <w:tc>
          <w:tcPr>
            <w:tcW w:w="7813" w:type="dxa"/>
          </w:tcPr>
          <w:p w14:paraId="3F7AFD3A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Laitoksen omat velat, joissa on kytkettyjä optioita, tai muut johdannaiset (jakamattomat)</w:t>
            </w:r>
          </w:p>
          <w:p w14:paraId="6C5173C2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Asetuksen (EU) N:o 575/2013 104 artiklan 2 kohdan ensimmäisen alakohdan i alakohta ja neljäs alakohta</w:t>
            </w:r>
          </w:p>
        </w:tc>
      </w:tr>
      <w:tr w:rsidR="009B2CA6" w:rsidRPr="00037E7B" w14:paraId="5BD829B0" w14:textId="77777777">
        <w:tc>
          <w:tcPr>
            <w:tcW w:w="1203" w:type="dxa"/>
          </w:tcPr>
          <w:p w14:paraId="2FA5C009" w14:textId="473E61D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0120</w:t>
            </w:r>
          </w:p>
        </w:tc>
        <w:tc>
          <w:tcPr>
            <w:tcW w:w="7813" w:type="dxa"/>
          </w:tcPr>
          <w:p w14:paraId="04C4E6C0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instrumentit, jotka luokitellaan kaupankäyntitarkoituksessa pidettäviksi tilinpäätössäännöstön nojalla (ei sisällytetty aiempiin sarakkeisiin)</w:t>
            </w:r>
          </w:p>
          <w:p w14:paraId="10D50030" w14:textId="47C96D6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Asetuksen (EU) N:o 575/2013 104 artiklan 2 kohdan ensimmäisen alakohdan d alakohta</w:t>
            </w:r>
          </w:p>
          <w:p w14:paraId="5674D9E6" w14:textId="3DAB8DFF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Instrumentit, jotka on tilinpäätössäännöstön mukaisesti luokiteltu kaupankäyntitarkoitukseen, ilmoitetaan tässä sarakkeessa vain, jos niitä ei ole vielä ilmoitettu sarakkeissa 0030–0110.</w:t>
            </w:r>
          </w:p>
        </w:tc>
      </w:tr>
      <w:tr w:rsidR="009B2CA6" w:rsidRPr="00037E7B" w14:paraId="2E034E64" w14:textId="77777777">
        <w:tc>
          <w:tcPr>
            <w:tcW w:w="1203" w:type="dxa"/>
          </w:tcPr>
          <w:p w14:paraId="0EC43CAD" w14:textId="3F3C4B46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0130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813" w:type="dxa"/>
          </w:tcPr>
          <w:p w14:paraId="1958765E" w14:textId="79733BFC" w:rsidR="009B2CA6" w:rsidRPr="00037E7B" w:rsidRDefault="0061609C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Kokonaispositiot – Kaupankäyntivarastoon toimivaltaisen viranomaisen suostumuksella sisällytetyt instrumentit: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u w:val="single"/>
                <w:rFonts w:ascii="Times New Roman" w:hAnsi="Times New Roman"/>
              </w:rPr>
              <w:t xml:space="preserve">instrumentit hedgerahastoissa</w:t>
            </w:r>
          </w:p>
          <w:p w14:paraId="71C1AC7E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Asetuksen (EU) N:o 575/2013 104 artiklan 4 a kohta</w:t>
            </w:r>
          </w:p>
        </w:tc>
      </w:tr>
      <w:tr w:rsidR="009B2CA6" w:rsidRPr="00037E7B" w14:paraId="58C0F140" w14:textId="77777777">
        <w:tc>
          <w:tcPr>
            <w:tcW w:w="1203" w:type="dxa"/>
          </w:tcPr>
          <w:p w14:paraId="4FE32C77" w14:textId="078AEE3E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0140–0150</w:t>
            </w:r>
          </w:p>
        </w:tc>
        <w:tc>
          <w:tcPr>
            <w:tcW w:w="7813" w:type="dxa"/>
          </w:tcPr>
          <w:p w14:paraId="592DBEC6" w14:textId="54D13645" w:rsidR="009B2CA6" w:rsidRPr="00037E7B" w:rsidRDefault="0061609C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Kokonaispositiot – Muut instrumentit</w:t>
            </w:r>
          </w:p>
          <w:p w14:paraId="4AFCA133" w14:textId="3CC0563A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Instrumentit on ilmoitettava tässä sarakkeessa, jos ne on luokiteltu kaupankäyntivarastoon asetuksen (EU) N:o 575/2013 4 artiklan 1 kohdan 85 alakohdan mukaisesti eikä niitä ole ilmoitettu sarakkeissa 0020–0130.</w:t>
            </w:r>
          </w:p>
        </w:tc>
      </w:tr>
      <w:tr w:rsidR="009B2CA6" w:rsidRPr="00037E7B" w14:paraId="2F8F4937" w14:textId="77777777">
        <w:tc>
          <w:tcPr>
            <w:tcW w:w="1203" w:type="dxa"/>
          </w:tcPr>
          <w:p w14:paraId="7CF40847" w14:textId="77E27C63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0140</w:t>
            </w:r>
          </w:p>
        </w:tc>
        <w:tc>
          <w:tcPr>
            <w:tcW w:w="7813" w:type="dxa"/>
          </w:tcPr>
          <w:p w14:paraId="38EE7871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Muut instrumentit</w:t>
            </w:r>
          </w:p>
        </w:tc>
      </w:tr>
      <w:tr w:rsidR="009B2CA6" w:rsidRPr="00037E7B" w14:paraId="64544C3C" w14:textId="77777777">
        <w:tc>
          <w:tcPr>
            <w:tcW w:w="1203" w:type="dxa"/>
          </w:tcPr>
          <w:p w14:paraId="26F8855E" w14:textId="46CAE73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0150</w:t>
            </w:r>
          </w:p>
        </w:tc>
        <w:tc>
          <w:tcPr>
            <w:tcW w:w="7813" w:type="dxa"/>
          </w:tcPr>
          <w:p w14:paraId="27213E71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Muut instrumentit – joista: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u w:val="single"/>
                <w:rFonts w:ascii="Times New Roman" w:hAnsi="Times New Roman"/>
              </w:rPr>
              <w:t xml:space="preserve">Kaupankäyntivarastoon kuuluvat instrumentit, koska kaupankäyntivarastoon luokittelemiseen ei ole näyttöä</w:t>
            </w:r>
          </w:p>
          <w:p w14:paraId="41653FFB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Asetuksen (EU) N:o 575/2013 104 artiklan 6 kohdan toinen virke.</w:t>
            </w:r>
          </w:p>
        </w:tc>
      </w:tr>
    </w:tbl>
    <w:p w14:paraId="10FD81A7" w14:textId="77777777" w:rsidR="009B2CA6" w:rsidRPr="00037E7B" w:rsidRDefault="009B2CA6" w:rsidP="009B2CA6">
      <w:pPr>
        <w:pStyle w:val="body"/>
        <w:spacing w:before="0" w:after="0"/>
        <w:rPr>
          <w:rFonts w:ascii="Times New Roman" w:hAnsi="Times New Roman" w:cs="Times New Roman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7813"/>
      </w:tblGrid>
      <w:tr w:rsidR="009B2CA6" w:rsidRPr="00037E7B" w14:paraId="098F6BB4" w14:textId="77777777">
        <w:tc>
          <w:tcPr>
            <w:tcW w:w="1203" w:type="dxa"/>
            <w:shd w:val="clear" w:color="auto" w:fill="BFBFBF" w:themeFill="background1" w:themeFillShade="BF"/>
          </w:tcPr>
          <w:p w14:paraId="68638DB3" w14:textId="77777777" w:rsidR="009B2CA6" w:rsidRPr="00037E7B" w:rsidRDefault="009B2CA6">
            <w:pPr>
              <w:pStyle w:val="BodyText"/>
              <w:spacing w:before="120"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Rivi</w:t>
            </w:r>
          </w:p>
        </w:tc>
        <w:tc>
          <w:tcPr>
            <w:tcW w:w="7813" w:type="dxa"/>
            <w:shd w:val="clear" w:color="auto" w:fill="BFBFBF" w:themeFill="background1" w:themeFillShade="BF"/>
          </w:tcPr>
          <w:p w14:paraId="4E400868" w14:textId="77777777" w:rsidR="009B2CA6" w:rsidRPr="00037E7B" w:rsidRDefault="009B2CA6">
            <w:pPr>
              <w:pStyle w:val="BodyText"/>
              <w:spacing w:before="120"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Lainsäädäntöviittaukset ja ohjeet</w:t>
            </w:r>
          </w:p>
        </w:tc>
      </w:tr>
      <w:tr w:rsidR="009C1D1D" w:rsidRPr="00037E7B" w14:paraId="7134C634" w14:textId="77777777">
        <w:trPr>
          <w:trHeight w:val="70"/>
        </w:trPr>
        <w:tc>
          <w:tcPr>
            <w:tcW w:w="1203" w:type="dxa"/>
          </w:tcPr>
          <w:p w14:paraId="0369C832" w14:textId="5442AEC0" w:rsidR="009C1D1D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0010–0020</w:t>
            </w:r>
          </w:p>
        </w:tc>
        <w:tc>
          <w:tcPr>
            <w:tcW w:w="7813" w:type="dxa"/>
            <w:vAlign w:val="bottom"/>
          </w:tcPr>
          <w:p w14:paraId="0C31E542" w14:textId="7FD81BBC" w:rsidR="009C1D1D" w:rsidRPr="00037E7B" w:rsidRDefault="00A17954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Kaikki kaupankäyntivarastoon kuuluvat instrumentit, jotka otetaan huomioon asetuksen (EU) N:o 575/2013 325 a artiklan kynnysarvossa</w:t>
            </w:r>
          </w:p>
        </w:tc>
      </w:tr>
      <w:tr w:rsidR="009B2CA6" w:rsidRPr="00037E7B" w14:paraId="225F200D" w14:textId="77777777" w:rsidTr="00723BA8">
        <w:trPr>
          <w:trHeight w:val="70"/>
        </w:trPr>
        <w:tc>
          <w:tcPr>
            <w:tcW w:w="1203" w:type="dxa"/>
          </w:tcPr>
          <w:p w14:paraId="5E239DC6" w14:textId="25A2560E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0030–0040</w:t>
            </w:r>
          </w:p>
        </w:tc>
        <w:tc>
          <w:tcPr>
            <w:tcW w:w="7813" w:type="dxa"/>
          </w:tcPr>
          <w:p w14:paraId="63B321D7" w14:textId="77777777" w:rsidR="00A17954" w:rsidRPr="00037E7B" w:rsidRDefault="009B2CA6" w:rsidP="00627775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Instrumentit, joiden pääasiallinen riskitekijä on yleinen korkoriski tai luottomarginaaliriski</w:t>
            </w:r>
          </w:p>
          <w:p w14:paraId="1768966A" w14:textId="77777777" w:rsidR="009B2CA6" w:rsidRPr="00037E7B" w:rsidRDefault="009B2CA6" w:rsidP="00627775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  <w:lang w:val="en-GB"/>
              </w:rPr>
            </w:pPr>
          </w:p>
        </w:tc>
      </w:tr>
      <w:tr w:rsidR="009B2CA6" w:rsidRPr="00037E7B" w14:paraId="2557F02B" w14:textId="77777777" w:rsidTr="00723BA8">
        <w:trPr>
          <w:trHeight w:val="70"/>
        </w:trPr>
        <w:tc>
          <w:tcPr>
            <w:tcW w:w="1203" w:type="dxa"/>
          </w:tcPr>
          <w:p w14:paraId="365D4766" w14:textId="5FCC0FF4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0050–0060</w:t>
            </w:r>
          </w:p>
        </w:tc>
        <w:tc>
          <w:tcPr>
            <w:tcW w:w="7813" w:type="dxa"/>
          </w:tcPr>
          <w:p w14:paraId="3388E222" w14:textId="77777777" w:rsidR="009B2CA6" w:rsidRPr="00037E7B" w:rsidRDefault="009B2CA6" w:rsidP="00627775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Instrumentit, joiden pääasiallinen riskitekijä on osakeriski</w:t>
            </w:r>
          </w:p>
        </w:tc>
      </w:tr>
      <w:tr w:rsidR="009B2CA6" w:rsidRPr="00037E7B" w14:paraId="615194B9" w14:textId="77777777" w:rsidTr="00723BA8">
        <w:trPr>
          <w:trHeight w:val="70"/>
        </w:trPr>
        <w:tc>
          <w:tcPr>
            <w:tcW w:w="1203" w:type="dxa"/>
          </w:tcPr>
          <w:p w14:paraId="39A575D7" w14:textId="6612F010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0070–0080</w:t>
            </w:r>
          </w:p>
        </w:tc>
        <w:tc>
          <w:tcPr>
            <w:tcW w:w="7813" w:type="dxa"/>
          </w:tcPr>
          <w:p w14:paraId="1BA6993E" w14:textId="77777777" w:rsidR="009B2CA6" w:rsidRPr="00037E7B" w:rsidRDefault="009B2CA6" w:rsidP="00627775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Instrumentit, joiden pääasiallinen riskitekijä on valuuttakurssiriski</w:t>
            </w:r>
          </w:p>
        </w:tc>
      </w:tr>
      <w:tr w:rsidR="009B2CA6" w:rsidRPr="00037E7B" w14:paraId="6C784F43" w14:textId="77777777" w:rsidTr="00723BA8">
        <w:trPr>
          <w:trHeight w:val="70"/>
        </w:trPr>
        <w:tc>
          <w:tcPr>
            <w:tcW w:w="1203" w:type="dxa"/>
          </w:tcPr>
          <w:p w14:paraId="11C355B3" w14:textId="7F907F02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0090-0100</w:t>
            </w:r>
          </w:p>
        </w:tc>
        <w:tc>
          <w:tcPr>
            <w:tcW w:w="7813" w:type="dxa"/>
          </w:tcPr>
          <w:p w14:paraId="0DBB7B5D" w14:textId="77777777" w:rsidR="009B2CA6" w:rsidRPr="00037E7B" w:rsidRDefault="009B2CA6" w:rsidP="00627775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Instrumentit, joiden pääasiallinen riskitekijä on hyödykeriski</w:t>
            </w:r>
          </w:p>
        </w:tc>
      </w:tr>
      <w:tr w:rsidR="009B2CA6" w:rsidRPr="00037E7B" w14:paraId="621D668A" w14:textId="77777777">
        <w:trPr>
          <w:trHeight w:val="70"/>
        </w:trPr>
        <w:tc>
          <w:tcPr>
            <w:tcW w:w="1203" w:type="dxa"/>
          </w:tcPr>
          <w:p w14:paraId="5E85AB2F" w14:textId="7FA64DA7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0110-0120</w:t>
            </w:r>
          </w:p>
        </w:tc>
        <w:tc>
          <w:tcPr>
            <w:tcW w:w="7813" w:type="dxa"/>
            <w:vAlign w:val="bottom"/>
          </w:tcPr>
          <w:p w14:paraId="05743526" w14:textId="39B8C6D0" w:rsidR="00A17954" w:rsidRPr="00037E7B" w:rsidRDefault="00D35757" w:rsidP="00A17954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Muut kaupankäyntivarastoon kuuluvat instrumentit, mukaan lukien instrumentit, joiden pääasiallinen riskitekijä on jäännösriski</w:t>
            </w:r>
          </w:p>
          <w:p w14:paraId="49050F01" w14:textId="0520CC26" w:rsidR="009B2CA6" w:rsidRPr="00723BA8" w:rsidRDefault="00D35757">
            <w:pPr>
              <w:pStyle w:val="BodyText"/>
              <w:spacing w:before="120" w:after="120"/>
              <w:rPr>
                <w:rFonts w:hint="eastAsia"/>
              </w:rPr>
            </w:pPr>
            <w:r>
              <w:t xml:space="preserve">Laitosten on ilmoitettava näillä riveillä kaikki kaupankäyntivarastoon luokitellut instrumentit, joiden pääasiallinen riskitekijä ei ole jokin riveillä 0030–0100 tarkoitetuista riskitekijöistä.</w:t>
            </w:r>
            <w:r>
              <w:t xml:space="preserve"> </w:t>
            </w:r>
            <w:r>
              <w:t xml:space="preserve">Näille riveille on sisällyttävä ainakin sellaiset instrumentit, joiden pääasiallinen riskitekijä ovat jäännösriskit.</w:t>
            </w:r>
            <w:r>
              <w:t xml:space="preserve">  </w:t>
            </w:r>
          </w:p>
        </w:tc>
      </w:tr>
      <w:tr w:rsidR="009B2CA6" w:rsidRPr="00037E7B" w14:paraId="461D04B3" w14:textId="77777777">
        <w:trPr>
          <w:trHeight w:val="70"/>
        </w:trPr>
        <w:tc>
          <w:tcPr>
            <w:tcW w:w="1203" w:type="dxa"/>
          </w:tcPr>
          <w:p w14:paraId="1CF3996C" w14:textId="0F9E87BA" w:rsidR="009B2CA6" w:rsidRPr="00037E7B" w:rsidRDefault="00546B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0130–0140</w:t>
            </w:r>
          </w:p>
        </w:tc>
        <w:tc>
          <w:tcPr>
            <w:tcW w:w="7813" w:type="dxa"/>
            <w:vAlign w:val="bottom"/>
          </w:tcPr>
          <w:p w14:paraId="48517D2E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Lisätietoerä: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u w:val="single"/>
                <w:rFonts w:ascii="Times New Roman" w:hAnsi="Times New Roman"/>
              </w:rPr>
              <w:t xml:space="preserve">instrumentit, jotka luokitellaan kaupankäyntitarkoituksessa pidettäviksi tilinpäätössäännöstön nojalla</w:t>
            </w:r>
          </w:p>
          <w:p w14:paraId="3A1B5873" w14:textId="2B81F1B6" w:rsidR="009B2CA6" w:rsidRPr="00037E7B" w:rsidRDefault="009B2CA6" w:rsidP="00723BA8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Asetuksen (EU) N:o 575/2013 104 artiklan 2 kohdan ensimmäisen alakohdan d alakohta</w:t>
            </w:r>
          </w:p>
        </w:tc>
      </w:tr>
    </w:tbl>
    <w:p w14:paraId="59860518" w14:textId="5FCC674D" w:rsidR="00AB3069" w:rsidRPr="00037E7B" w:rsidRDefault="00201582" w:rsidP="000059B8">
      <w:pPr>
        <w:pStyle w:val="Instructionsberschrift2"/>
        <w:numPr>
          <w:ilvl w:val="0"/>
          <w:numId w:val="0"/>
        </w:numPr>
        <w:ind w:left="357" w:hanging="357"/>
      </w:pPr>
      <w:bookmarkStart w:id="15" w:name="_Toc151714544"/>
      <w:r>
        <w:rPr>
          <w:sz w:val="24"/>
          <w:rFonts w:ascii="Times New Roman" w:hAnsi="Times New Roman"/>
        </w:rPr>
        <w:t xml:space="preserve">9.3 C 24.01 – Kaupankäyntivaraston raja – Uudelleenluokittelut kaupankäyntivaraston ja sen ulkopuolisten erien välillä (MOV)</w:t>
      </w:r>
      <w:bookmarkEnd w:id="15"/>
    </w:p>
    <w:p w14:paraId="36E171AE" w14:textId="77777777" w:rsidR="00F65FA6" w:rsidRPr="00037E7B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r>
        <w:rPr>
          <w:u w:val="none"/>
          <w:sz w:val="24"/>
          <w:rFonts w:ascii="Times New Roman" w:hAnsi="Times New Roman"/>
        </w:rPr>
        <w:t xml:space="preserve">9.3.1</w:t>
      </w:r>
      <w:r>
        <w:rPr>
          <w:u w:val="none"/>
          <w:rFonts w:ascii="Times New Roman" w:hAnsi="Times New Roman"/>
        </w:rPr>
        <w:tab/>
      </w:r>
      <w:r>
        <w:rPr>
          <w:u w:val="none"/>
          <w:sz w:val="24"/>
          <w:rFonts w:ascii="Times New Roman" w:hAnsi="Times New Roman"/>
        </w:rPr>
        <w:t xml:space="preserve">Yleiset huomiot</w:t>
      </w:r>
    </w:p>
    <w:p w14:paraId="01D302B5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Tätä lomaketta on käytettävä tietojen antamiseen positioiden uudelleenluokittelusta asetuksen (EU) N:o 575/2013 104 a artiklan mukaisesti.</w:t>
      </w:r>
      <w:r>
        <w:t xml:space="preserve"> </w:t>
      </w:r>
    </w:p>
    <w:p w14:paraId="171B977F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Uudelleenluokittelut ilmoitetaan tällä lomakkeella ainoastaan seuraavissa kahdessa tapauksessa:</w:t>
      </w:r>
    </w:p>
    <w:p w14:paraId="188FB065" w14:textId="1E43754D" w:rsidR="00F65FA6" w:rsidRPr="00037E7B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>
        <w:t xml:space="preserve">toimivaltainen viranomainen on antanut luvan luokitella kaupankäyntivarastoon kuuluva positio uudelleen kaupankäyntivaraston ulkopuoliseksi positioksi tai päinvastoin;</w:t>
      </w:r>
    </w:p>
    <w:p w14:paraId="5B6EC138" w14:textId="25B6D89E" w:rsidR="00F65FA6" w:rsidRPr="00037E7B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>
        <w:t xml:space="preserve">jos uudelleenluokittelu täyttää asetuksen (EU) N:o 575/2013 104 a artiklan 6 kohdassa säädetyt edellytykset ja se voidaan tehdä ilman toimivaltaisen viranomaisen nimenomaista lupaa.</w:t>
      </w:r>
    </w:p>
    <w:p w14:paraId="42F779D4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Lomakkeessa on ilmoitettava seuraavat uudelleenluokitellut instrumentit:</w:t>
      </w:r>
    </w:p>
    <w:p w14:paraId="2B0996DA" w14:textId="3EB81158" w:rsidR="00F65FA6" w:rsidRPr="00037E7B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>
        <w:t xml:space="preserve">instrumentit, jotka on uudelleenluokiteltu raportin kattaman vuosineljänneksen aikana.</w:t>
      </w:r>
      <w:r>
        <w:t xml:space="preserve"> </w:t>
      </w:r>
      <w:r>
        <w:t xml:space="preserve">Kaikki vuosineljänneksen aikana uudelleenluokitellut instrumentit on ilmoitettava lomakkeessa riippumatta siitä, johtaako uudelleenluokittelu omien varojen vaatimusten pienenemiseen.</w:t>
      </w:r>
      <w:r>
        <w:t xml:space="preserve"> </w:t>
      </w:r>
      <w:r>
        <w:t xml:space="preserve">Instrumentti, jonka luokittelua on muutettu vuosineljänneksen aikana, on ilmoitettava, vaikka instrumentti olisi kirjattu pois taseesta tai erääntynyt luokituksen uudelleenluokittelupäivän ja raportin viitepäivän välisenä aikana;</w:t>
      </w:r>
    </w:p>
    <w:p w14:paraId="29ED050F" w14:textId="56E21CB0" w:rsidR="00F65FA6" w:rsidRPr="00037E7B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>
        <w:t xml:space="preserve">instrumentit, jotka on luokiteltu uudelleen edellisillä raportointikausilla ja joihin sovelletaan edelleen omien varojen vaatimusta asetuksen (EU) N:o 575/2013 104 a artiklan 3 kohdan b alakohdan mukaisesti raportin viitepäivänä;</w:t>
      </w:r>
      <w:r>
        <w:t xml:space="preserve"> </w:t>
      </w:r>
    </w:p>
    <w:p w14:paraId="04E7DE74" w14:textId="0EA265BF" w:rsidR="00F65FA6" w:rsidRPr="00037E7B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>
        <w:t xml:space="preserve">instrumentit, jotka on luokiteltu uudelleen edellisillä raportointikausilla ja joihin on sovellettu omien varojen vaatimusta asetuksen (EU) N:o 575/2013 104 a artiklan 3 kohdan b alakohdan mukaisesti edeltävänä viitepäivänä, jos toimivaltaisen viranomaisen päätös sallia omien varojen vaatimusten vähennyksen kirjaaminen tulee voimaan raportin kattaman vuosineljänneksen aikana.</w:t>
      </w:r>
    </w:p>
    <w:p w14:paraId="4E4DBEFD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Laitosten on ilmoitettava uudelleenluokittelua koskevat tiedot erikseen kunkin uudelleenluokitellun instrumentin osalta.</w:t>
      </w:r>
    </w:p>
    <w:p w14:paraId="17A4C841" w14:textId="77777777" w:rsidR="00F65FA6" w:rsidRPr="00037E7B" w:rsidDel="00BC604C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Kenttää ”kuittaava ryhmä” on käytettävä osoittamaan kuittaava ryhmä, johon sisältyy yhteisö, jolla asianomainen positio oli viitepäivänä tai tapauksen mukaan erääntymispäivänä tai taseesta pois kirjaamisen päivänä.</w:t>
      </w:r>
      <w:r>
        <w:t xml:space="preserve"> </w:t>
      </w:r>
    </w:p>
    <w:p w14:paraId="27A31F03" w14:textId="77777777" w:rsidR="00F65FA6" w:rsidRPr="00037E7B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9.3.2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Tiettyjä kohtia koskevat ohjeet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7813"/>
      </w:tblGrid>
      <w:tr w:rsidR="00F65FA6" w:rsidRPr="00037E7B" w14:paraId="4E787111" w14:textId="77777777" w:rsidTr="00E02007">
        <w:tc>
          <w:tcPr>
            <w:tcW w:w="1203" w:type="dxa"/>
            <w:shd w:val="clear" w:color="auto" w:fill="BFBFBF" w:themeFill="background1" w:themeFillShade="BF"/>
          </w:tcPr>
          <w:p w14:paraId="37E96ED0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Sarake</w:t>
            </w:r>
          </w:p>
        </w:tc>
        <w:tc>
          <w:tcPr>
            <w:tcW w:w="7813" w:type="dxa"/>
            <w:shd w:val="clear" w:color="auto" w:fill="BFBFBF" w:themeFill="background1" w:themeFillShade="BF"/>
          </w:tcPr>
          <w:p w14:paraId="114CE84C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Lainsäädäntöviittaukset ja ohjeet</w:t>
            </w:r>
          </w:p>
        </w:tc>
      </w:tr>
      <w:tr w:rsidR="00F65FA6" w:rsidRPr="00037E7B" w14:paraId="7804A6AA" w14:textId="77777777" w:rsidTr="00E02007">
        <w:trPr>
          <w:trHeight w:val="1408"/>
        </w:trPr>
        <w:tc>
          <w:tcPr>
            <w:tcW w:w="1203" w:type="dxa"/>
          </w:tcPr>
          <w:p w14:paraId="7D96819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0010</w:t>
            </w:r>
          </w:p>
        </w:tc>
        <w:tc>
          <w:tcPr>
            <w:tcW w:w="7813" w:type="dxa"/>
            <w:vAlign w:val="bottom"/>
          </w:tcPr>
          <w:p w14:paraId="11F7B8E9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Uudelleenluokittelun tunniste</w:t>
            </w:r>
          </w:p>
          <w:p w14:paraId="677D77C4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Sisäinen (aakkosnumeerinen) koodi, jota raportoiva yhteisö käyttää yksilöidäkseen uudelleenluokitellun instrumentin tai uudelleenluokituksen (tapauksen mukaan).</w:t>
            </w:r>
          </w:p>
          <w:p w14:paraId="5368921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Jokainen uudelleenluokittelu on yhdistettävä erilliseen uudelleenluokittelun tunnisteeseen.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Yhdelle ja samalle uudelleenluokittelulle annetun uudelleenluokittelun tunnisteen on oltava yksilöllinen, ja sitä on käytettävä johdonmukaisesti koko ajan ja kaikessa raportoinnissa.</w:t>
            </w:r>
          </w:p>
          <w:p w14:paraId="6DB947CE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Tämä on rivin tunnus, jonka on oltava yksilöllinen lomakkeen jokaiselle riville.</w:t>
            </w:r>
          </w:p>
        </w:tc>
      </w:tr>
      <w:tr w:rsidR="00F65FA6" w:rsidRPr="00037E7B" w14:paraId="59ECF46A" w14:textId="77777777" w:rsidTr="00E02007">
        <w:tc>
          <w:tcPr>
            <w:tcW w:w="1203" w:type="dxa"/>
          </w:tcPr>
          <w:p w14:paraId="657AB94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0020</w:t>
            </w:r>
          </w:p>
        </w:tc>
        <w:tc>
          <w:tcPr>
            <w:tcW w:w="7813" w:type="dxa"/>
            <w:vAlign w:val="bottom"/>
          </w:tcPr>
          <w:p w14:paraId="30229377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Instrumenttityyppi</w:t>
            </w:r>
          </w:p>
          <w:p w14:paraId="397FF853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Lyhyt kuvaus uudelleenluokitellusta instrumentista, joka auttaa ymmärtämään uudelleenluokitellun instrumentin luonteen ja tärkeimmät ominaisuudet.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7D66558D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Jos uudelleenluokitellulla instrumentilla on ISIN-koodi (International Securities Identification Number), kuvaukseen on sisällytettävä ISIN-koodi instrumentin tärkeimpien ominaisuuksien lisäksi.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65FA6" w:rsidRPr="00037E7B" w14:paraId="4307D827" w14:textId="77777777" w:rsidTr="00E02007">
        <w:tc>
          <w:tcPr>
            <w:tcW w:w="1203" w:type="dxa"/>
          </w:tcPr>
          <w:p w14:paraId="72695973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0030</w:t>
            </w:r>
          </w:p>
        </w:tc>
        <w:tc>
          <w:tcPr>
            <w:tcW w:w="7813" w:type="dxa"/>
            <w:vAlign w:val="bottom"/>
          </w:tcPr>
          <w:p w14:paraId="4E9993E7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Sääntelyn mukainen luokittelu ennen uudelleenluokittelua</w:t>
            </w:r>
          </w:p>
          <w:p w14:paraId="74CBD9F5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Jompikumpi seuraavista vaihtoehdoista on ilmoitettava:</w:t>
            </w:r>
          </w:p>
          <w:p w14:paraId="4B75926D" w14:textId="77777777" w:rsidR="00F65FA6" w:rsidRPr="00037E7B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Kaupankäyntivarasto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Asetuksen (EU) N:o 575/2013 4 artiklan 1 kohdan 86 alakohta</w:t>
            </w:r>
          </w:p>
          <w:p w14:paraId="787F3457" w14:textId="77777777" w:rsidR="00F65FA6" w:rsidRPr="00037E7B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Kaupankäyntivaraston ulkopuolinen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Koostuu kaikista positioista, jotka eivät kuulu kaupankäyntivarastoon.</w:t>
            </w:r>
          </w:p>
        </w:tc>
      </w:tr>
      <w:tr w:rsidR="00F65FA6" w:rsidRPr="00037E7B" w14:paraId="47BC0AA3" w14:textId="77777777" w:rsidTr="00E02007">
        <w:tc>
          <w:tcPr>
            <w:tcW w:w="1203" w:type="dxa"/>
          </w:tcPr>
          <w:p w14:paraId="1EFC356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0040</w:t>
            </w:r>
          </w:p>
        </w:tc>
        <w:tc>
          <w:tcPr>
            <w:tcW w:w="7813" w:type="dxa"/>
            <w:vAlign w:val="bottom"/>
          </w:tcPr>
          <w:p w14:paraId="4C994CBE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Sääntelyn mukainen uusi luokittelu</w:t>
            </w:r>
          </w:p>
          <w:p w14:paraId="3021E1D4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Jompikumpi seuraavista vaihtoehdoista on ilmoitettava:</w:t>
            </w:r>
          </w:p>
          <w:p w14:paraId="1EE13C76" w14:textId="77777777" w:rsidR="00F65FA6" w:rsidRPr="00037E7B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Kaupankäyntivarasto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Asetuksen (EU) N:o 575/2013 4 artiklan 1 kohdan 86 alakohta</w:t>
            </w:r>
          </w:p>
          <w:p w14:paraId="41D9486B" w14:textId="77777777" w:rsidR="00F65FA6" w:rsidRPr="00037E7B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Kaupankäyntivaraston ulkopuolinen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Koostuu kaikista positioista, jotka eivät kuulu kaupankäyntivarastoon.</w:t>
            </w:r>
          </w:p>
        </w:tc>
      </w:tr>
      <w:tr w:rsidR="00F65FA6" w:rsidRPr="00037E7B" w14:paraId="14476FEB" w14:textId="77777777" w:rsidTr="00E02007">
        <w:tc>
          <w:tcPr>
            <w:tcW w:w="1203" w:type="dxa"/>
          </w:tcPr>
          <w:p w14:paraId="13F0D9EC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0050</w:t>
            </w:r>
          </w:p>
        </w:tc>
        <w:tc>
          <w:tcPr>
            <w:tcW w:w="7813" w:type="dxa"/>
            <w:vAlign w:val="bottom"/>
          </w:tcPr>
          <w:p w14:paraId="19E4E9E2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Uudelleenluokittelun syy</w:t>
            </w:r>
          </w:p>
          <w:p w14:paraId="7DED50F3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Tässä on selitettävä ne poikkeukselliset olosuhteet, jotka johtavat position uudelleenluokitteluun kaupankäyntivarastosta sen ulkopuolelle tai päinvastoin.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Tässä solussa annettavan selityksen on oltava riittävän yksityiskohtainen kelvatakseen perusteluksi, miksi uudelleenluokittelun katsotaan johtuvan poikkeuksellisista olosuhteista.</w:t>
            </w:r>
          </w:p>
        </w:tc>
      </w:tr>
      <w:tr w:rsidR="00F65FA6" w:rsidRPr="00037E7B" w14:paraId="490381CE" w14:textId="77777777" w:rsidTr="00E02007">
        <w:tc>
          <w:tcPr>
            <w:tcW w:w="1203" w:type="dxa"/>
          </w:tcPr>
          <w:p w14:paraId="139D44B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0060</w:t>
            </w:r>
          </w:p>
        </w:tc>
        <w:tc>
          <w:tcPr>
            <w:tcW w:w="7813" w:type="dxa"/>
            <w:vAlign w:val="bottom"/>
          </w:tcPr>
          <w:p w14:paraId="1362F39C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Ennakkolupa (tila)</w:t>
            </w:r>
          </w:p>
          <w:p w14:paraId="56285F31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Asetuksen (EU) N:o 575/2013 104 a artiklan 2 ja 6 kohta</w:t>
            </w:r>
          </w:p>
          <w:p w14:paraId="65D8CB7E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Jos toimivaltaiselta viranomaiselta ei vaadita etukäteistä lupaa asetuksen (EU) N:o 575/2013 104 a artiklan 6 kohdan mukaisesti, laitosten on ilmoitettava tässä sarakkeessa ”Etukäteistä lupaa ei vaadita”.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Jos etukäteinen lupa vaaditaan ja se on saatu, ilmoitetaan ”Etukäteinen lupa saatu”.</w:t>
            </w:r>
          </w:p>
        </w:tc>
      </w:tr>
      <w:tr w:rsidR="00F65FA6" w:rsidRPr="00037E7B" w14:paraId="78F1574B" w14:textId="77777777" w:rsidTr="00E02007">
        <w:tc>
          <w:tcPr>
            <w:tcW w:w="1203" w:type="dxa"/>
          </w:tcPr>
          <w:p w14:paraId="26979E4B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0070</w:t>
            </w:r>
          </w:p>
        </w:tc>
        <w:tc>
          <w:tcPr>
            <w:tcW w:w="7813" w:type="dxa"/>
            <w:vAlign w:val="bottom"/>
          </w:tcPr>
          <w:p w14:paraId="21A070A6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Uudelleenluokituksen päivämäärä</w:t>
            </w:r>
          </w:p>
          <w:p w14:paraId="230E5C22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Asetuksen (EU) N:o 575/2013 104 a artiklan 2 ja 6 kohdan ensimmäinen virke</w:t>
            </w:r>
          </w:p>
        </w:tc>
      </w:tr>
      <w:tr w:rsidR="00F65FA6" w:rsidRPr="00037E7B" w14:paraId="0E22B962" w14:textId="77777777" w:rsidTr="00E02007">
        <w:tc>
          <w:tcPr>
            <w:tcW w:w="1203" w:type="dxa"/>
          </w:tcPr>
          <w:p w14:paraId="5DAEDB5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0080</w:t>
            </w:r>
          </w:p>
        </w:tc>
        <w:tc>
          <w:tcPr>
            <w:tcW w:w="7813" w:type="dxa"/>
            <w:vAlign w:val="bottom"/>
          </w:tcPr>
          <w:p w14:paraId="1822A08F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Uudelleenluokittelusta johtuva omien varojen vaatimusten nettolisäys (+) tai -vähennys (−)</w:t>
            </w:r>
          </w:p>
          <w:p w14:paraId="037647A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Asetuksen (EU) N:o 575/2013 104 a artiklan 4 kohdan mukaisesti laskettu position uudelleenluokittelusta johtuva omien varojen vaatimusten nettomuutos.</w:t>
            </w:r>
          </w:p>
          <w:p w14:paraId="6BA75988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Uudelleenluokittelusta johtuva omien varojen vaatimusten lisäys on ilmoitettava positiivisella merkillä (+), kun taas omien varojen vaatimusten lasku ilmoitetaan negatiivisella merkillä (–).</w:t>
            </w:r>
          </w:p>
        </w:tc>
      </w:tr>
      <w:tr w:rsidR="00F65FA6" w:rsidRPr="00037E7B" w14:paraId="22693EF8" w14:textId="77777777" w:rsidTr="00E02007">
        <w:tc>
          <w:tcPr>
            <w:tcW w:w="1203" w:type="dxa"/>
          </w:tcPr>
          <w:p w14:paraId="652EAB8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0090</w:t>
            </w:r>
          </w:p>
        </w:tc>
        <w:tc>
          <w:tcPr>
            <w:tcW w:w="7813" w:type="dxa"/>
            <w:vAlign w:val="bottom"/>
          </w:tcPr>
          <w:p w14:paraId="4A786750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Uudelleenluokittelusta johtuva omien varojen vaatimusten korotus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</w:p>
          <w:p w14:paraId="08204427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Jos asetuksen (EU) N:o 575/2013 104 a artiklan 4 kohdan mukaisesti laskettu position uudelleenluokittelusta johtuva omien varojen vaatimusten määrän nettomuutos johtaa laitoksen omien varojen vaatimusten vähenemiseen eikä toimivaltainen viranomainen ole myöntänyt lupaa kyseisen vähennyksen huomioon ottamiseksi asetuksen (EU) N:o 575/2013 104 a artiklan 3 kohdan b alakohdan mukaisesti, vähennyksen määrä ilmoitetaan positiivisella merkillä. Määrä vastaa siis kyseisestä uudelleenluokituksesta aiheutuvaa korotusta omien varojen vaatimuksiin.</w:t>
            </w:r>
          </w:p>
          <w:p w14:paraId="58E348B5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Jos toimivaltainen viranomainen on antanut luvan omien varojen vaatimusten vähennyksen huomioon ottamiseen asetuksen (EU) N:o 575/2013 104 a artiklan 3 kohdan b alakohdan mukaisesti, tämä sarake jätetään tyhjäksi.</w:t>
            </w:r>
          </w:p>
        </w:tc>
      </w:tr>
      <w:tr w:rsidR="00F65FA6" w:rsidRPr="00037E7B" w14:paraId="33A66CF2" w14:textId="77777777" w:rsidTr="00E02007">
        <w:tc>
          <w:tcPr>
            <w:tcW w:w="1203" w:type="dxa"/>
          </w:tcPr>
          <w:p w14:paraId="3AA16332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0100</w:t>
            </w:r>
          </w:p>
        </w:tc>
        <w:tc>
          <w:tcPr>
            <w:tcW w:w="7813" w:type="dxa"/>
            <w:vAlign w:val="bottom"/>
          </w:tcPr>
          <w:p w14:paraId="5C674A5B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Instrumentin erääntymispäivä tai suunniteltu taseesta pois kirjaaminen</w:t>
            </w:r>
          </w:p>
          <w:p w14:paraId="019C730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Jos taseesta pois kirjaamista ei ole suunnitteilla, ilmoitetaan instrumentin maturiteetti.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69F6AC70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Jos instrumentti on tarkoitus kirjata pois taseesta ennen sen erääntymistä, kyseisen taseesta pois kirjaamisen päivämäärä on ilmoitettava.</w:t>
            </w:r>
          </w:p>
          <w:p w14:paraId="3742220D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Jos maturiteetin tai taseesta pois kirjaamisen ajankohdasta on vain kuukausi ja vuosi tiedossa, instrumentin erääntymispäiväksi tai suunnitelluksi taseesta pois kirjaamiseksi ilmoitetaan kuukauden viimeinen päivä.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Jos taseesta pois kirjaamisen ajankohdasta on vain vuosi tiedossa, suunnitelluksi taseesta pois kirjaamiseksi ilmoitetaan kyseisen vuoden joulukuun 31. päivä.</w:t>
            </w:r>
          </w:p>
          <w:p w14:paraId="7F211819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Jos instrumentin erääntymispäivää tai suunniteltua taseesta pois kirjaamista ei voida määrittää tai se ei ole tiedossa, tässä sarakkeessa on ilmoitettava 31. joulukuuta 9999.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65FA6" w:rsidRPr="00FE3C59" w14:paraId="0A30C5DF" w14:textId="77777777" w:rsidTr="00E02007">
        <w:tc>
          <w:tcPr>
            <w:tcW w:w="1203" w:type="dxa"/>
          </w:tcPr>
          <w:p w14:paraId="12AE4F1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0110</w:t>
            </w:r>
          </w:p>
        </w:tc>
        <w:tc>
          <w:tcPr>
            <w:tcW w:w="7813" w:type="dxa"/>
            <w:vAlign w:val="bottom"/>
          </w:tcPr>
          <w:p w14:paraId="441DE526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Päivämäärä, josta alkaen toimivaltainen viranomainen sallii omien varojen vaatimusten vähennyksen kirjaamisen</w:t>
            </w:r>
          </w:p>
          <w:p w14:paraId="49ECC5E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Asetuksen (EU) N:o 575/2013 104 a artiklan 3 kohdan b alakohta</w:t>
            </w:r>
          </w:p>
          <w:p w14:paraId="1B724794" w14:textId="77777777" w:rsidR="00F65FA6" w:rsidRPr="00FE3C59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Jos uudelleenluokittelu on johtanut omien varojen vaatimusten nettolisäykseen ja jos toimivaltainen viranomainen ei ole antanut lupaa omien varojen vaatimusten vähennyksen huomioon ottamiseksi, ei ilmoiteta mitään päivämäärää.”</w:t>
            </w:r>
          </w:p>
        </w:tc>
      </w:tr>
    </w:tbl>
    <w:p w14:paraId="0C23ABF8" w14:textId="77777777" w:rsidR="00F65FA6" w:rsidRPr="00FE3C59" w:rsidRDefault="00F65FA6" w:rsidP="00F65FA6">
      <w:pPr>
        <w:pStyle w:val="body"/>
        <w:rPr>
          <w:rFonts w:ascii="Times New Roman" w:hAnsi="Times New Roman" w:cs="Times New Roman"/>
          <w:lang w:val="en-GB"/>
        </w:rPr>
      </w:pPr>
    </w:p>
    <w:p w14:paraId="18DC5971" w14:textId="77777777" w:rsidR="00522E00" w:rsidRPr="00F65FA6" w:rsidRDefault="00522E00" w:rsidP="00F65FA6">
      <w:pPr>
        <w:pStyle w:val="body"/>
        <w:rPr>
          <w:rStyle w:val="InstructionsTabelleText"/>
          <w:rFonts w:ascii="Times New Roman" w:hAnsi="Times New Roman"/>
          <w:sz w:val="24"/>
          <w:lang w:val="en-GB"/>
        </w:rPr>
      </w:pPr>
    </w:p>
    <w:sectPr w:rsidR="00522E00" w:rsidRPr="00F65FA6" w:rsidSect="00B51F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B86EA" w14:textId="77777777" w:rsidR="00F72086" w:rsidRDefault="00F72086" w:rsidP="00D946DB">
      <w:pPr>
        <w:spacing w:before="0" w:after="0"/>
      </w:pPr>
      <w:r>
        <w:separator/>
      </w:r>
    </w:p>
  </w:endnote>
  <w:endnote w:type="continuationSeparator" w:id="0">
    <w:p w14:paraId="7E78B2E2" w14:textId="77777777" w:rsidR="00F72086" w:rsidRDefault="00F72086" w:rsidP="00D946DB">
      <w:pPr>
        <w:spacing w:before="0" w:after="0"/>
      </w:pPr>
      <w:r>
        <w:continuationSeparator/>
      </w:r>
    </w:p>
  </w:endnote>
  <w:endnote w:type="continuationNotice" w:id="1">
    <w:p w14:paraId="23302D77" w14:textId="77777777" w:rsidR="00F72086" w:rsidRDefault="00F7208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65885" w14:textId="71A1082C" w:rsidR="00C3070C" w:rsidRPr="00ED1956" w:rsidRDefault="00C3070C">
    <w:pPr>
      <w:pStyle w:val="Footer"/>
      <w:jc w:val="right"/>
      <w:rPr>
        <w:sz w:val="20"/>
        <w:szCs w:val="20"/>
        <w:rFonts w:ascii="Times New Roman" w:hAnsi="Times New Roman"/>
      </w:rPr>
    </w:pPr>
    <w:r w:rsidRPr="00ED1956">
      <w:rPr>
        <w:sz w:val="20"/>
        <w:rFonts w:ascii="Times New Roman" w:hAnsi="Times New Roman"/>
      </w:rPr>
      <w:fldChar w:fldCharType="begin"/>
    </w:r>
    <w:r w:rsidRPr="00ED1956">
      <w:rPr>
        <w:sz w:val="20"/>
        <w:rFonts w:ascii="Times New Roman" w:hAnsi="Times New Roman"/>
      </w:rPr>
      <w:instrText xml:space="preserve"> PAGE   \* MERGEFORMAT </w:instrText>
    </w:r>
    <w:r w:rsidRPr="00ED1956">
      <w:rPr>
        <w:sz w:val="20"/>
        <w:rFonts w:ascii="Times New Roman" w:hAnsi="Times New Roman"/>
      </w:rPr>
      <w:fldChar w:fldCharType="separate"/>
    </w:r>
    <w:r w:rsidR="008F3052">
      <w:rPr>
        <w:sz w:val="20"/>
        <w:rFonts w:ascii="Times New Roman" w:hAnsi="Times New Roman"/>
      </w:rPr>
      <w:t>42</w:t>
    </w:r>
    <w:r w:rsidRPr="00ED1956">
      <w:rPr>
        <w:sz w:val="20"/>
        <w:rFonts w:ascii="Times New Roman" w:hAnsi="Times New Roman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00540" w14:textId="77777777" w:rsidR="00F72086" w:rsidRDefault="00F72086" w:rsidP="00D946DB">
      <w:pPr>
        <w:spacing w:before="0" w:after="0"/>
      </w:pPr>
      <w:r>
        <w:separator/>
      </w:r>
    </w:p>
  </w:footnote>
  <w:footnote w:type="continuationSeparator" w:id="0">
    <w:p w14:paraId="6C737719" w14:textId="77777777" w:rsidR="00F72086" w:rsidRDefault="00F72086" w:rsidP="00D946DB">
      <w:pPr>
        <w:spacing w:before="0" w:after="0"/>
      </w:pPr>
      <w:r>
        <w:continuationSeparator/>
      </w:r>
    </w:p>
  </w:footnote>
  <w:footnote w:type="continuationNotice" w:id="1">
    <w:p w14:paraId="190DCB3C" w14:textId="77777777" w:rsidR="00F72086" w:rsidRDefault="00F7208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A98C1" w14:textId="7C971337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DBBC0" w14:textId="5C594065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20D4E75"/>
    <w:multiLevelType w:val="hybridMultilevel"/>
    <w:tmpl w:val="69263B24"/>
    <w:lvl w:ilvl="0" w:tplc="0809000F">
      <w:start w:val="1"/>
      <w:numFmt w:val="decimal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26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8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8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0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7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9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1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3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4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8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9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0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1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74A10E5B"/>
    <w:multiLevelType w:val="multilevel"/>
    <w:tmpl w:val="46C8D792"/>
    <w:lvl w:ilvl="0">
      <w:start w:val="208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20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rFonts w:hint="default"/>
      </w:rPr>
    </w:lvl>
  </w:abstractNum>
  <w:abstractNum w:abstractNumId="69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1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50"/>
  </w:num>
  <w:num w:numId="3" w16cid:durableId="286200695">
    <w:abstractNumId w:val="66"/>
  </w:num>
  <w:num w:numId="4" w16cid:durableId="487287975">
    <w:abstractNumId w:val="42"/>
  </w:num>
  <w:num w:numId="5" w16cid:durableId="1754350949">
    <w:abstractNumId w:val="57"/>
  </w:num>
  <w:num w:numId="6" w16cid:durableId="1507597667">
    <w:abstractNumId w:val="31"/>
  </w:num>
  <w:num w:numId="7" w16cid:durableId="139271283">
    <w:abstractNumId w:val="65"/>
  </w:num>
  <w:num w:numId="8" w16cid:durableId="763764270">
    <w:abstractNumId w:val="16"/>
  </w:num>
  <w:num w:numId="9" w16cid:durableId="1561986968">
    <w:abstractNumId w:val="55"/>
  </w:num>
  <w:num w:numId="10" w16cid:durableId="1349260748">
    <w:abstractNumId w:val="28"/>
  </w:num>
  <w:num w:numId="11" w16cid:durableId="1097991330">
    <w:abstractNumId w:val="44"/>
  </w:num>
  <w:num w:numId="12" w16cid:durableId="858469680">
    <w:abstractNumId w:val="18"/>
  </w:num>
  <w:num w:numId="13" w16cid:durableId="1485394352">
    <w:abstractNumId w:val="56"/>
  </w:num>
  <w:num w:numId="14" w16cid:durableId="881021889">
    <w:abstractNumId w:val="49"/>
  </w:num>
  <w:num w:numId="15" w16cid:durableId="1923681300">
    <w:abstractNumId w:val="26"/>
  </w:num>
  <w:num w:numId="16" w16cid:durableId="211188018">
    <w:abstractNumId w:val="43"/>
  </w:num>
  <w:num w:numId="17" w16cid:durableId="373817584">
    <w:abstractNumId w:val="22"/>
  </w:num>
  <w:num w:numId="18" w16cid:durableId="1615165847">
    <w:abstractNumId w:val="58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7"/>
  </w:num>
  <w:num w:numId="22" w16cid:durableId="510485648">
    <w:abstractNumId w:val="37"/>
  </w:num>
  <w:num w:numId="23" w16cid:durableId="863594772">
    <w:abstractNumId w:val="48"/>
  </w:num>
  <w:num w:numId="24" w16cid:durableId="1184786628">
    <w:abstractNumId w:val="59"/>
  </w:num>
  <w:num w:numId="25" w16cid:durableId="156314703">
    <w:abstractNumId w:val="15"/>
  </w:num>
  <w:num w:numId="26" w16cid:durableId="1106079368">
    <w:abstractNumId w:val="35"/>
  </w:num>
  <w:num w:numId="27" w16cid:durableId="1353070508">
    <w:abstractNumId w:val="46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1"/>
  </w:num>
  <w:num w:numId="31" w16cid:durableId="1418819944">
    <w:abstractNumId w:val="69"/>
  </w:num>
  <w:num w:numId="32" w16cid:durableId="239949740">
    <w:abstractNumId w:val="17"/>
  </w:num>
  <w:num w:numId="33" w16cid:durableId="8442498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1"/>
  </w:num>
  <w:num w:numId="36" w16cid:durableId="1464036760">
    <w:abstractNumId w:val="4"/>
  </w:num>
  <w:num w:numId="37" w16cid:durableId="249973241">
    <w:abstractNumId w:val="63"/>
  </w:num>
  <w:num w:numId="38" w16cid:durableId="1115178956">
    <w:abstractNumId w:val="67"/>
  </w:num>
  <w:num w:numId="39" w16cid:durableId="1079792157">
    <w:abstractNumId w:val="36"/>
  </w:num>
  <w:num w:numId="40" w16cid:durableId="1333265662">
    <w:abstractNumId w:val="2"/>
  </w:num>
  <w:num w:numId="41" w16cid:durableId="737484550">
    <w:abstractNumId w:val="30"/>
  </w:num>
  <w:num w:numId="42" w16cid:durableId="309210531">
    <w:abstractNumId w:val="64"/>
  </w:num>
  <w:num w:numId="43" w16cid:durableId="166527561">
    <w:abstractNumId w:val="1"/>
  </w:num>
  <w:num w:numId="44" w16cid:durableId="1544101633">
    <w:abstractNumId w:val="60"/>
  </w:num>
  <w:num w:numId="45" w16cid:durableId="44380249">
    <w:abstractNumId w:val="45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1"/>
  </w:num>
  <w:num w:numId="49" w16cid:durableId="1718896137">
    <w:abstractNumId w:val="21"/>
  </w:num>
  <w:num w:numId="50" w16cid:durableId="1728258729">
    <w:abstractNumId w:val="70"/>
  </w:num>
  <w:num w:numId="51" w16cid:durableId="1856534817">
    <w:abstractNumId w:val="54"/>
  </w:num>
  <w:num w:numId="52" w16cid:durableId="771122248">
    <w:abstractNumId w:val="33"/>
  </w:num>
  <w:num w:numId="53" w16cid:durableId="738211683">
    <w:abstractNumId w:val="26"/>
  </w:num>
  <w:num w:numId="54" w16cid:durableId="1774208110">
    <w:abstractNumId w:val="26"/>
  </w:num>
  <w:num w:numId="55" w16cid:durableId="698626776">
    <w:abstractNumId w:val="26"/>
  </w:num>
  <w:num w:numId="56" w16cid:durableId="1155799151">
    <w:abstractNumId w:val="26"/>
  </w:num>
  <w:num w:numId="57" w16cid:durableId="16854895">
    <w:abstractNumId w:val="56"/>
  </w:num>
  <w:num w:numId="58" w16cid:durableId="441648627">
    <w:abstractNumId w:val="62"/>
  </w:num>
  <w:num w:numId="59" w16cid:durableId="1204750145">
    <w:abstractNumId w:val="38"/>
  </w:num>
  <w:num w:numId="60" w16cid:durableId="1881163654">
    <w:abstractNumId w:val="61"/>
  </w:num>
  <w:num w:numId="61" w16cid:durableId="564342068">
    <w:abstractNumId w:val="68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6"/>
  </w:num>
  <w:num w:numId="65" w16cid:durableId="912351439">
    <w:abstractNumId w:val="26"/>
  </w:num>
  <w:num w:numId="66" w16cid:durableId="1115518585">
    <w:abstractNumId w:val="23"/>
  </w:num>
  <w:num w:numId="67" w16cid:durableId="1254245876">
    <w:abstractNumId w:val="72"/>
  </w:num>
  <w:num w:numId="68" w16cid:durableId="1354916990">
    <w:abstractNumId w:val="32"/>
  </w:num>
  <w:num w:numId="69" w16cid:durableId="304165099">
    <w:abstractNumId w:val="29"/>
  </w:num>
  <w:num w:numId="70" w16cid:durableId="1683121088">
    <w:abstractNumId w:val="40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9"/>
  </w:num>
  <w:num w:numId="74" w16cid:durableId="469858578">
    <w:abstractNumId w:val="47"/>
  </w:num>
  <w:num w:numId="75" w16cid:durableId="2106150306">
    <w:abstractNumId w:val="34"/>
  </w:num>
  <w:num w:numId="76" w16cid:durableId="1625306053">
    <w:abstractNumId w:val="26"/>
  </w:num>
  <w:num w:numId="77" w16cid:durableId="1635911473">
    <w:abstractNumId w:val="26"/>
  </w:num>
  <w:num w:numId="78" w16cid:durableId="254442520">
    <w:abstractNumId w:val="56"/>
  </w:num>
  <w:num w:numId="79" w16cid:durableId="2019043190">
    <w:abstractNumId w:val="56"/>
  </w:num>
  <w:num w:numId="80" w16cid:durableId="562058377">
    <w:abstractNumId w:val="56"/>
  </w:num>
  <w:num w:numId="81" w16cid:durableId="1759137703">
    <w:abstractNumId w:val="56"/>
  </w:num>
  <w:num w:numId="82" w16cid:durableId="123818016">
    <w:abstractNumId w:val="56"/>
  </w:num>
  <w:num w:numId="83" w16cid:durableId="1590625833">
    <w:abstractNumId w:val="56"/>
  </w:num>
  <w:num w:numId="84" w16cid:durableId="671184775">
    <w:abstractNumId w:val="56"/>
  </w:num>
  <w:num w:numId="85" w16cid:durableId="897664751">
    <w:abstractNumId w:val="5"/>
  </w:num>
  <w:num w:numId="86" w16cid:durableId="1293025442">
    <w:abstractNumId w:val="56"/>
  </w:num>
  <w:num w:numId="87" w16cid:durableId="784428268">
    <w:abstractNumId w:val="56"/>
  </w:num>
  <w:num w:numId="88" w16cid:durableId="1356544267">
    <w:abstractNumId w:val="56"/>
  </w:num>
  <w:num w:numId="89" w16cid:durableId="1756898050">
    <w:abstractNumId w:val="56"/>
  </w:num>
  <w:num w:numId="90" w16cid:durableId="1953591268">
    <w:abstractNumId w:val="56"/>
  </w:num>
  <w:num w:numId="91" w16cid:durableId="1411076586">
    <w:abstractNumId w:val="56"/>
  </w:num>
  <w:num w:numId="92" w16cid:durableId="713577442">
    <w:abstractNumId w:val="56"/>
  </w:num>
  <w:num w:numId="93" w16cid:durableId="1665546488">
    <w:abstractNumId w:val="56"/>
  </w:num>
  <w:num w:numId="94" w16cid:durableId="967052354">
    <w:abstractNumId w:val="56"/>
  </w:num>
  <w:num w:numId="95" w16cid:durableId="309484170">
    <w:abstractNumId w:val="56"/>
  </w:num>
  <w:num w:numId="96" w16cid:durableId="1535777035">
    <w:abstractNumId w:val="26"/>
  </w:num>
  <w:num w:numId="97" w16cid:durableId="973751919">
    <w:abstractNumId w:val="26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6"/>
  </w:num>
  <w:num w:numId="101" w16cid:durableId="808861108">
    <w:abstractNumId w:val="26"/>
  </w:num>
  <w:num w:numId="102" w16cid:durableId="202838676">
    <w:abstractNumId w:val="26"/>
  </w:num>
  <w:num w:numId="103" w16cid:durableId="760026508">
    <w:abstractNumId w:val="26"/>
  </w:num>
  <w:num w:numId="104" w16cid:durableId="1074426706">
    <w:abstractNumId w:val="56"/>
  </w:num>
  <w:num w:numId="105" w16cid:durableId="524179360">
    <w:abstractNumId w:val="26"/>
  </w:num>
  <w:num w:numId="106" w16cid:durableId="98719631">
    <w:abstractNumId w:val="52"/>
  </w:num>
  <w:num w:numId="107" w16cid:durableId="1289240839">
    <w:abstractNumId w:val="26"/>
  </w:num>
  <w:num w:numId="108" w16cid:durableId="1410078559">
    <w:abstractNumId w:val="26"/>
  </w:num>
  <w:num w:numId="109" w16cid:durableId="1179739189">
    <w:abstractNumId w:val="26"/>
  </w:num>
  <w:num w:numId="110" w16cid:durableId="346566243">
    <w:abstractNumId w:val="26"/>
  </w:num>
  <w:num w:numId="111" w16cid:durableId="306859254">
    <w:abstractNumId w:val="26"/>
  </w:num>
  <w:num w:numId="112" w16cid:durableId="732776132">
    <w:abstractNumId w:val="56"/>
  </w:num>
  <w:num w:numId="113" w16cid:durableId="872963773">
    <w:abstractNumId w:val="56"/>
  </w:num>
  <w:num w:numId="114" w16cid:durableId="419832823">
    <w:abstractNumId w:val="26"/>
  </w:num>
  <w:num w:numId="115" w16cid:durableId="1976831320">
    <w:abstractNumId w:val="26"/>
  </w:num>
  <w:num w:numId="116" w16cid:durableId="926570473">
    <w:abstractNumId w:val="56"/>
  </w:num>
  <w:num w:numId="117" w16cid:durableId="365564648">
    <w:abstractNumId w:val="26"/>
  </w:num>
  <w:num w:numId="118" w16cid:durableId="98573524">
    <w:abstractNumId w:val="26"/>
  </w:num>
  <w:num w:numId="119" w16cid:durableId="1933127277">
    <w:abstractNumId w:val="26"/>
  </w:num>
  <w:num w:numId="120" w16cid:durableId="1898935926">
    <w:abstractNumId w:val="26"/>
  </w:num>
  <w:num w:numId="121" w16cid:durableId="102649250">
    <w:abstractNumId w:val="26"/>
  </w:num>
  <w:num w:numId="122" w16cid:durableId="1231430260">
    <w:abstractNumId w:val="56"/>
  </w:num>
  <w:num w:numId="123" w16cid:durableId="636766826">
    <w:abstractNumId w:val="26"/>
  </w:num>
  <w:num w:numId="124" w16cid:durableId="148641963">
    <w:abstractNumId w:val="26"/>
  </w:num>
  <w:num w:numId="125" w16cid:durableId="686636675">
    <w:abstractNumId w:val="26"/>
  </w:num>
  <w:num w:numId="126" w16cid:durableId="44912019">
    <w:abstractNumId w:val="26"/>
  </w:num>
  <w:num w:numId="127" w16cid:durableId="132719380">
    <w:abstractNumId w:val="26"/>
  </w:num>
  <w:num w:numId="128" w16cid:durableId="851991795">
    <w:abstractNumId w:val="26"/>
  </w:num>
  <w:num w:numId="129" w16cid:durableId="898714134">
    <w:abstractNumId w:val="26"/>
  </w:num>
  <w:num w:numId="130" w16cid:durableId="650518952">
    <w:abstractNumId w:val="26"/>
  </w:num>
  <w:num w:numId="131" w16cid:durableId="586690030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ctiveWritingStyle w:appName="MSWord" w:lang="fr-B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32F3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E7B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16B9"/>
    <w:rsid w:val="00052A80"/>
    <w:rsid w:val="00052CAE"/>
    <w:rsid w:val="00052EE6"/>
    <w:rsid w:val="000530BC"/>
    <w:rsid w:val="0005400A"/>
    <w:rsid w:val="000548A2"/>
    <w:rsid w:val="0005609F"/>
    <w:rsid w:val="00056154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833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D60"/>
    <w:rsid w:val="001F0FCF"/>
    <w:rsid w:val="001F1653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7A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0C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3D2F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5C1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7060"/>
    <w:rsid w:val="003B7693"/>
    <w:rsid w:val="003B7FD5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2625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17F0B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4DC"/>
    <w:rsid w:val="0047563E"/>
    <w:rsid w:val="00475B6A"/>
    <w:rsid w:val="00475F76"/>
    <w:rsid w:val="00475F8F"/>
    <w:rsid w:val="0047602E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30E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66F4"/>
    <w:rsid w:val="00566905"/>
    <w:rsid w:val="00566A45"/>
    <w:rsid w:val="00566DB5"/>
    <w:rsid w:val="00566E59"/>
    <w:rsid w:val="005704F9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55"/>
    <w:rsid w:val="005C29CD"/>
    <w:rsid w:val="005C2A1D"/>
    <w:rsid w:val="005C2F53"/>
    <w:rsid w:val="005C31F9"/>
    <w:rsid w:val="005C3734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09C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775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845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50C8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A50"/>
    <w:rsid w:val="00723BA8"/>
    <w:rsid w:val="00723F2B"/>
    <w:rsid w:val="00724108"/>
    <w:rsid w:val="007241D3"/>
    <w:rsid w:val="00724589"/>
    <w:rsid w:val="007247ED"/>
    <w:rsid w:val="007248BD"/>
    <w:rsid w:val="007260DA"/>
    <w:rsid w:val="00726591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5643"/>
    <w:rsid w:val="007B6DFF"/>
    <w:rsid w:val="007B6ED2"/>
    <w:rsid w:val="007B7B53"/>
    <w:rsid w:val="007C099C"/>
    <w:rsid w:val="007C0A10"/>
    <w:rsid w:val="007C2334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6F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0BE"/>
    <w:rsid w:val="008304E8"/>
    <w:rsid w:val="00830C5F"/>
    <w:rsid w:val="00830C91"/>
    <w:rsid w:val="00830F86"/>
    <w:rsid w:val="00830FBE"/>
    <w:rsid w:val="00831443"/>
    <w:rsid w:val="00831751"/>
    <w:rsid w:val="008323C7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4A24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378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528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2B5B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546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266"/>
    <w:rsid w:val="009C2C58"/>
    <w:rsid w:val="009C3801"/>
    <w:rsid w:val="009C3D16"/>
    <w:rsid w:val="009C3D69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68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5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446"/>
    <w:rsid w:val="00AC6519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1C8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6580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68A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6EC3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89F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4E0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B3B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53F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129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039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8C6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8AA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83C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2ABE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757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3CED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9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DD5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6B06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40A7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128"/>
    <w:rsid w:val="00EC0AAB"/>
    <w:rsid w:val="00EC0B74"/>
    <w:rsid w:val="00EC0C65"/>
    <w:rsid w:val="00EC153B"/>
    <w:rsid w:val="00EC19AE"/>
    <w:rsid w:val="00EC1EA0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3DB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F30"/>
    <w:rsid w:val="00F12EA3"/>
    <w:rsid w:val="00F13B3B"/>
    <w:rsid w:val="00F13E69"/>
    <w:rsid w:val="00F1455C"/>
    <w:rsid w:val="00F14A2E"/>
    <w:rsid w:val="00F14A91"/>
    <w:rsid w:val="00F14B07"/>
    <w:rsid w:val="00F1528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5FA6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2086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5C6"/>
    <w:rsid w:val="00FF1617"/>
    <w:rsid w:val="00FF208F"/>
    <w:rsid w:val="00FF2658"/>
    <w:rsid w:val="00FF2818"/>
    <w:rsid w:val="00FF2BC3"/>
    <w:rsid w:val="00FF2D0E"/>
    <w:rsid w:val="00FF36A5"/>
    <w:rsid w:val="00FF38DA"/>
    <w:rsid w:val="00FF3B3B"/>
    <w:rsid w:val="00FF49BE"/>
    <w:rsid w:val="00FF6630"/>
    <w:rsid w:val="00FF6BEE"/>
    <w:rsid w:val="00FF6E0E"/>
    <w:rsid w:val="00FF75CC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CB8A86"/>
    <w:rsid w:val="5FF14103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  <w15:docId w15:val="{A9785487-7472-490C-889B-8751B3E4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fi-FI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fi-FI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fi-FI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fi-FI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fi-FI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fi-FI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fi-FI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fi-FI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fi-FI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fi-FI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fi-FI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fi-FI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fi-FI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fi-FI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964546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fi-FI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fi-FI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fi-FI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fi-FI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fi-FI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fi-F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fi-FI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fi-FI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BD3B3B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fi-FI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fi-FI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BD3B3B"/>
    <w:rPr>
      <w:rFonts w:ascii="Times New Roman" w:eastAsia="Times New Roman" w:hAnsi="Times New Roman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fi-FI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fi-FI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fi-FI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fi-FI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fi-FI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fi-FI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fi-FI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fi-FI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fi-FI"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val="fi-FI"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val="fi-FI"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val="fi-FI"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fi-FI"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val="fi-FI"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val="fi-FI"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val="fi-FI"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fi-FI"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val="fi-FI"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val="fi-FI"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val="fi-FI"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val="fi-FI"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val="fi-FI"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val="fi-FI"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val="fi-FI"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fi-FI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fi-FI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val="fi-FI"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fi-FI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fi-FI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i-FI"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i-FI"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i-FI"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i-FI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fi-FI"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fi-FI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fi-FI"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921889-7C9F-45DC-A9C7-2F6469C6E384}"/>
</file>

<file path=customXml/itemProps2.xml><?xml version="1.0" encoding="utf-8"?>
<ds:datastoreItem xmlns:ds="http://schemas.openxmlformats.org/officeDocument/2006/customXml" ds:itemID="{FF3A0232-5BFD-4F5E-B285-512602E16F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B51A07-D7AD-450F-93B2-15105AE77BF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2619</Words>
  <Characters>14332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4</cp:revision>
  <dcterms:created xsi:type="dcterms:W3CDTF">2024-06-19T18:09:00Z</dcterms:created>
  <dcterms:modified xsi:type="dcterms:W3CDTF">2024-06-21T12:22:00Z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